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pacing w:val="5"/>
          <w:kern w:val="28"/>
          <w:lang w:val="en-GB"/>
        </w:rPr>
        <w:alias w:val="Tittel"/>
        <w:id w:val="77738743"/>
        <w:placeholder>
          <w:docPart w:val="74A21FEB1D3D475685E455A0AE6F1001"/>
        </w:placeholder>
        <w:dataBinding w:prefixMappings="xmlns:ns0='http://schemas.openxmlformats.org/package/2006/metadata/core-properties' xmlns:ns1='http://purl.org/dc/elements/1.1/'" w:xpath="/ns0:coreProperties[1]/ns1:title[1]" w:storeItemID="{6C3C8BC8-F283-45AE-878A-BAB7291924A1}"/>
        <w:text/>
      </w:sdtPr>
      <w:sdtEndPr/>
      <w:sdtContent>
        <w:p w:rsidR="002F2446" w:rsidRPr="00347524" w:rsidRDefault="00EF6560" w:rsidP="00394869">
          <w:pPr>
            <w:pStyle w:val="Topptekst"/>
            <w:pBdr>
              <w:bottom w:val="thickThinSmallGap" w:sz="24" w:space="1" w:color="622423" w:themeColor="accent2" w:themeShade="7F"/>
            </w:pBdr>
            <w:jc w:val="center"/>
            <w:rPr>
              <w:rFonts w:eastAsiaTheme="majorEastAsia" w:cstheme="majorBidi"/>
              <w:color w:val="1F497D" w:themeColor="text2"/>
              <w:lang w:val="en-GB"/>
            </w:rPr>
          </w:pPr>
          <w:r w:rsidRPr="00347524">
            <w:rPr>
              <w:rFonts w:eastAsiaTheme="majorEastAsia" w:cstheme="majorBidi"/>
              <w:b/>
              <w:color w:val="1F497D" w:themeColor="text2"/>
              <w:spacing w:val="5"/>
              <w:kern w:val="28"/>
              <w:lang w:val="en-GB"/>
            </w:rPr>
            <w:t>NORWEGIAN NGO FORUM FOR HUMAN RIGHTS</w:t>
          </w:r>
        </w:p>
      </w:sdtContent>
    </w:sdt>
    <w:p w:rsidR="002F2446" w:rsidRPr="00347524" w:rsidRDefault="002F2446" w:rsidP="003C49B8">
      <w:pPr>
        <w:pStyle w:val="Default"/>
        <w:spacing w:after="160"/>
        <w:rPr>
          <w:rFonts w:asciiTheme="minorHAnsi" w:hAnsiTheme="minorHAnsi"/>
          <w:color w:val="auto"/>
          <w:sz w:val="22"/>
          <w:szCs w:val="22"/>
          <w:lang w:val="en-GB"/>
        </w:rPr>
      </w:pPr>
    </w:p>
    <w:p w:rsidR="007753EB" w:rsidRPr="00347524" w:rsidRDefault="007753EB" w:rsidP="003C49B8">
      <w:pPr>
        <w:spacing w:line="240" w:lineRule="auto"/>
        <w:rPr>
          <w:b/>
          <w:bCs/>
          <w:lang w:val="en-GB"/>
        </w:rPr>
      </w:pPr>
    </w:p>
    <w:p w:rsidR="004364A0" w:rsidRPr="00347524" w:rsidRDefault="004364A0" w:rsidP="003C49B8">
      <w:pPr>
        <w:spacing w:line="240" w:lineRule="auto"/>
        <w:rPr>
          <w:b/>
          <w:lang w:val="en-GB"/>
        </w:rPr>
      </w:pPr>
    </w:p>
    <w:p w:rsidR="004364A0" w:rsidRPr="00347524" w:rsidRDefault="004364A0" w:rsidP="00394869">
      <w:pPr>
        <w:spacing w:line="240" w:lineRule="auto"/>
        <w:jc w:val="center"/>
        <w:rPr>
          <w:b/>
          <w:color w:val="1F497D" w:themeColor="text2"/>
          <w:sz w:val="28"/>
          <w:lang w:val="en-GB"/>
        </w:rPr>
      </w:pPr>
      <w:r w:rsidRPr="00347524">
        <w:rPr>
          <w:b/>
          <w:color w:val="1F497D" w:themeColor="text2"/>
          <w:sz w:val="28"/>
          <w:lang w:val="en-GB"/>
        </w:rPr>
        <w:t xml:space="preserve">SUBMISSION REGARDING THE </w:t>
      </w:r>
      <w:r w:rsidR="001D75CA" w:rsidRPr="00347524">
        <w:rPr>
          <w:b/>
          <w:color w:val="1F497D" w:themeColor="text2"/>
          <w:sz w:val="28"/>
          <w:lang w:val="en-GB"/>
        </w:rPr>
        <w:t>7</w:t>
      </w:r>
      <w:r w:rsidRPr="00347524">
        <w:rPr>
          <w:b/>
          <w:color w:val="1F497D" w:themeColor="text2"/>
          <w:sz w:val="28"/>
          <w:vertAlign w:val="superscript"/>
          <w:lang w:val="en-GB"/>
        </w:rPr>
        <w:t>TH</w:t>
      </w:r>
      <w:r w:rsidRPr="00347524">
        <w:rPr>
          <w:b/>
          <w:color w:val="1F497D" w:themeColor="text2"/>
          <w:sz w:val="28"/>
          <w:lang w:val="en-GB"/>
        </w:rPr>
        <w:t xml:space="preserve"> PERIODIC REPORT OF NORWAY TO THE UN </w:t>
      </w:r>
      <w:r w:rsidR="00E95041" w:rsidRPr="00347524">
        <w:rPr>
          <w:b/>
          <w:color w:val="1F497D" w:themeColor="text2"/>
          <w:sz w:val="28"/>
          <w:lang w:val="en-GB"/>
        </w:rPr>
        <w:t xml:space="preserve">HUMAN </w:t>
      </w:r>
      <w:r w:rsidR="001D75CA" w:rsidRPr="00347524">
        <w:rPr>
          <w:b/>
          <w:color w:val="1F497D" w:themeColor="text2"/>
          <w:sz w:val="28"/>
          <w:lang w:val="en-GB"/>
        </w:rPr>
        <w:t>RIGHTS</w:t>
      </w:r>
      <w:r w:rsidR="00E95041" w:rsidRPr="00347524">
        <w:rPr>
          <w:b/>
          <w:color w:val="1F497D" w:themeColor="text2"/>
          <w:sz w:val="28"/>
          <w:lang w:val="en-GB"/>
        </w:rPr>
        <w:t xml:space="preserve"> COMMITTEE</w:t>
      </w:r>
    </w:p>
    <w:p w:rsidR="004364A0" w:rsidRPr="00347524" w:rsidRDefault="004364A0" w:rsidP="00394869">
      <w:pPr>
        <w:spacing w:line="240" w:lineRule="auto"/>
        <w:jc w:val="center"/>
        <w:rPr>
          <w:b/>
          <w:color w:val="1F497D" w:themeColor="text2"/>
          <w:sz w:val="24"/>
          <w:lang w:val="en-GB"/>
        </w:rPr>
      </w:pPr>
      <w:r w:rsidRPr="00347524">
        <w:rPr>
          <w:b/>
          <w:color w:val="1F497D" w:themeColor="text2"/>
          <w:sz w:val="24"/>
          <w:lang w:val="en-GB"/>
        </w:rPr>
        <w:t>Norwegian NGO-Forum for Human Rights</w:t>
      </w:r>
    </w:p>
    <w:p w:rsidR="00394869" w:rsidRPr="00347524" w:rsidRDefault="00394869" w:rsidP="003C49B8">
      <w:pPr>
        <w:spacing w:line="240" w:lineRule="auto"/>
        <w:rPr>
          <w:b/>
          <w:lang w:val="en-GB"/>
        </w:rPr>
      </w:pPr>
    </w:p>
    <w:p w:rsidR="004364A0" w:rsidRPr="00347524" w:rsidRDefault="004364A0" w:rsidP="003C49B8">
      <w:pPr>
        <w:spacing w:line="240" w:lineRule="auto"/>
        <w:rPr>
          <w:b/>
          <w:lang w:val="en-GB"/>
        </w:rPr>
      </w:pPr>
      <w:r w:rsidRPr="00347524">
        <w:rPr>
          <w:b/>
          <w:lang w:val="en-GB"/>
        </w:rPr>
        <w:t>On behalf of</w:t>
      </w:r>
    </w:p>
    <w:p w:rsidR="006319AF" w:rsidRPr="00347524" w:rsidRDefault="00A46246" w:rsidP="006319AF">
      <w:pPr>
        <w:pStyle w:val="Listeavsnitt"/>
        <w:numPr>
          <w:ilvl w:val="0"/>
          <w:numId w:val="8"/>
        </w:numPr>
        <w:spacing w:line="240" w:lineRule="auto"/>
        <w:rPr>
          <w:lang w:val="en-GB"/>
        </w:rPr>
      </w:pPr>
      <w:hyperlink r:id="rId9" w:history="1">
        <w:r w:rsidR="006319AF" w:rsidRPr="00347524">
          <w:rPr>
            <w:rStyle w:val="Hyperkobling"/>
            <w:color w:val="auto"/>
            <w:lang w:val="en-GB"/>
          </w:rPr>
          <w:t>Amnesty International Norway</w:t>
        </w:r>
      </w:hyperlink>
      <w:bookmarkStart w:id="0" w:name="_GoBack"/>
      <w:bookmarkEnd w:id="0"/>
    </w:p>
    <w:p w:rsidR="001D75CA" w:rsidRPr="00347524" w:rsidRDefault="00A46246" w:rsidP="003C49B8">
      <w:pPr>
        <w:pStyle w:val="Listeavsnitt"/>
        <w:numPr>
          <w:ilvl w:val="0"/>
          <w:numId w:val="8"/>
        </w:numPr>
        <w:spacing w:line="240" w:lineRule="auto"/>
        <w:rPr>
          <w:lang w:val="en-GB"/>
        </w:rPr>
      </w:pPr>
      <w:hyperlink r:id="rId10" w:history="1">
        <w:r w:rsidR="001D75CA" w:rsidRPr="00347524">
          <w:rPr>
            <w:rStyle w:val="Hyperkobling"/>
            <w:color w:val="auto"/>
            <w:lang w:val="en-GB"/>
          </w:rPr>
          <w:t>J</w:t>
        </w:r>
        <w:r w:rsidR="00D6295B" w:rsidRPr="00347524">
          <w:rPr>
            <w:rStyle w:val="Hyperkobling"/>
            <w:color w:val="auto"/>
            <w:lang w:val="en-GB"/>
          </w:rPr>
          <w:t xml:space="preserve">ussbuss: </w:t>
        </w:r>
        <w:r w:rsidR="00D6295B" w:rsidRPr="00347524">
          <w:rPr>
            <w:rStyle w:val="Hyperkobling"/>
            <w:color w:val="auto"/>
            <w:shd w:val="clear" w:color="auto" w:fill="FFFFFF"/>
            <w:lang w:val="en-GB"/>
          </w:rPr>
          <w:t>student run free legal aid clinic based in Oslo, Norway</w:t>
        </w:r>
      </w:hyperlink>
    </w:p>
    <w:p w:rsidR="006319AF" w:rsidRPr="00347524" w:rsidRDefault="00A46246" w:rsidP="006319AF">
      <w:pPr>
        <w:pStyle w:val="Listeavsnitt"/>
        <w:numPr>
          <w:ilvl w:val="0"/>
          <w:numId w:val="8"/>
        </w:numPr>
        <w:spacing w:line="240" w:lineRule="auto"/>
        <w:rPr>
          <w:lang w:val="en-GB"/>
        </w:rPr>
      </w:pPr>
      <w:hyperlink r:id="rId11" w:history="1">
        <w:r w:rsidR="006319AF" w:rsidRPr="00347524">
          <w:rPr>
            <w:rStyle w:val="Hyperkobling"/>
            <w:color w:val="auto"/>
            <w:lang w:val="en-GB"/>
          </w:rPr>
          <w:t>Norwegian Organization for Asylum Seekers</w:t>
        </w:r>
      </w:hyperlink>
      <w:r w:rsidR="006319AF" w:rsidRPr="00347524">
        <w:rPr>
          <w:lang w:val="en-GB"/>
        </w:rPr>
        <w:t xml:space="preserve"> (NOAS)</w:t>
      </w:r>
    </w:p>
    <w:p w:rsidR="004364A0" w:rsidRPr="00347524" w:rsidRDefault="00A46246" w:rsidP="003C49B8">
      <w:pPr>
        <w:pStyle w:val="Listeavsnitt"/>
        <w:numPr>
          <w:ilvl w:val="0"/>
          <w:numId w:val="8"/>
        </w:numPr>
        <w:spacing w:line="240" w:lineRule="auto"/>
        <w:rPr>
          <w:lang w:val="en-GB"/>
        </w:rPr>
      </w:pPr>
      <w:hyperlink r:id="rId12" w:history="1">
        <w:r w:rsidR="008D0EBD" w:rsidRPr="00347524">
          <w:rPr>
            <w:rStyle w:val="Hyperkobling"/>
            <w:color w:val="auto"/>
            <w:lang w:val="en-GB"/>
          </w:rPr>
          <w:t>The Norwegian Humanist Association</w:t>
        </w:r>
      </w:hyperlink>
    </w:p>
    <w:p w:rsidR="004364A0" w:rsidRPr="00347524" w:rsidRDefault="008D0EBD" w:rsidP="003C49B8">
      <w:pPr>
        <w:pStyle w:val="Listeavsnitt"/>
        <w:numPr>
          <w:ilvl w:val="0"/>
          <w:numId w:val="8"/>
        </w:numPr>
        <w:spacing w:line="240" w:lineRule="auto"/>
        <w:rPr>
          <w:rStyle w:val="Hyperkobling"/>
          <w:color w:val="auto"/>
          <w:lang w:val="en-GB"/>
        </w:rPr>
      </w:pPr>
      <w:r w:rsidRPr="00347524">
        <w:rPr>
          <w:lang w:val="en-GB"/>
        </w:rPr>
        <w:fldChar w:fldCharType="begin"/>
      </w:r>
      <w:r w:rsidRPr="00347524">
        <w:rPr>
          <w:lang w:val="en-GB"/>
        </w:rPr>
        <w:instrText>HYPERLINK "http://www.nhc.no/en/"</w:instrText>
      </w:r>
      <w:r w:rsidRPr="00347524">
        <w:rPr>
          <w:lang w:val="en-GB"/>
        </w:rPr>
        <w:fldChar w:fldCharType="separate"/>
      </w:r>
      <w:r w:rsidR="004364A0" w:rsidRPr="00347524">
        <w:rPr>
          <w:rStyle w:val="Hyperkobling"/>
          <w:color w:val="auto"/>
          <w:lang w:val="en-GB"/>
        </w:rPr>
        <w:t>The Norwegian Helsinki Committee</w:t>
      </w:r>
    </w:p>
    <w:p w:rsidR="00970CAE" w:rsidRPr="00347524" w:rsidRDefault="008D0EBD" w:rsidP="003C49B8">
      <w:pPr>
        <w:spacing w:line="240" w:lineRule="auto"/>
        <w:rPr>
          <w:rFonts w:cs="Calibri"/>
          <w:bCs/>
          <w:lang w:val="en-GB"/>
        </w:rPr>
      </w:pPr>
      <w:r w:rsidRPr="00347524">
        <w:rPr>
          <w:lang w:val="en-GB"/>
        </w:rPr>
        <w:fldChar w:fldCharType="end"/>
      </w:r>
      <w:r w:rsidR="004364A0" w:rsidRPr="00347524">
        <w:rPr>
          <w:rFonts w:cs="Calibri"/>
          <w:bCs/>
          <w:lang w:val="en-GB"/>
        </w:rPr>
        <w:t xml:space="preserve">The present report reflects </w:t>
      </w:r>
      <w:r w:rsidR="00661FEC" w:rsidRPr="00347524">
        <w:rPr>
          <w:rFonts w:cs="Calibri"/>
          <w:bCs/>
          <w:lang w:val="en-GB"/>
        </w:rPr>
        <w:t xml:space="preserve">the </w:t>
      </w:r>
      <w:r w:rsidR="004364A0" w:rsidRPr="00347524">
        <w:rPr>
          <w:rFonts w:cs="Calibri"/>
          <w:bCs/>
          <w:lang w:val="en-GB"/>
        </w:rPr>
        <w:t xml:space="preserve">main concerns and priorities of </w:t>
      </w:r>
      <w:r w:rsidR="001E3A1E" w:rsidRPr="00347524">
        <w:rPr>
          <w:rFonts w:cs="Calibri"/>
          <w:bCs/>
          <w:lang w:val="en-GB"/>
        </w:rPr>
        <w:t xml:space="preserve">the above listed </w:t>
      </w:r>
      <w:r w:rsidR="004364A0" w:rsidRPr="00347524">
        <w:rPr>
          <w:rFonts w:cs="Calibri"/>
          <w:bCs/>
          <w:lang w:val="en-GB"/>
        </w:rPr>
        <w:t>organizations</w:t>
      </w:r>
      <w:r w:rsidR="001E3A1E" w:rsidRPr="00347524">
        <w:rPr>
          <w:rFonts w:cs="Calibri"/>
          <w:bCs/>
          <w:lang w:val="en-GB"/>
        </w:rPr>
        <w:t xml:space="preserve">, which are members of </w:t>
      </w:r>
      <w:r w:rsidR="004364A0" w:rsidRPr="00347524">
        <w:rPr>
          <w:rFonts w:cs="Calibri"/>
          <w:bCs/>
          <w:lang w:val="en-GB"/>
        </w:rPr>
        <w:t>the Norwegian NGO-Forum for Human Rights</w:t>
      </w:r>
      <w:r w:rsidR="008870C4" w:rsidRPr="00347524">
        <w:rPr>
          <w:rFonts w:cs="Calibri"/>
          <w:bCs/>
          <w:lang w:val="en-GB"/>
        </w:rPr>
        <w:t>. The report has been prepared as an input</w:t>
      </w:r>
      <w:r w:rsidR="004364A0" w:rsidRPr="00347524">
        <w:rPr>
          <w:rFonts w:cs="Calibri"/>
          <w:bCs/>
          <w:lang w:val="en-GB"/>
        </w:rPr>
        <w:t xml:space="preserve"> to the UN </w:t>
      </w:r>
      <w:r w:rsidR="00E95041" w:rsidRPr="00347524">
        <w:rPr>
          <w:rFonts w:cs="Calibri"/>
          <w:bCs/>
          <w:lang w:val="en-GB"/>
        </w:rPr>
        <w:t>Human Rights Committee</w:t>
      </w:r>
      <w:r w:rsidR="008870C4" w:rsidRPr="00347524">
        <w:rPr>
          <w:rFonts w:cs="Calibri"/>
          <w:bCs/>
          <w:lang w:val="en-GB"/>
        </w:rPr>
        <w:t xml:space="preserve">, which in </w:t>
      </w:r>
      <w:r w:rsidR="00E95041" w:rsidRPr="00347524">
        <w:rPr>
          <w:rFonts w:cs="Calibri"/>
          <w:bCs/>
          <w:lang w:val="en-GB"/>
        </w:rPr>
        <w:t>March</w:t>
      </w:r>
      <w:r w:rsidR="008870C4" w:rsidRPr="00347524">
        <w:rPr>
          <w:rFonts w:cs="Calibri"/>
          <w:bCs/>
          <w:lang w:val="en-GB"/>
        </w:rPr>
        <w:t xml:space="preserve"> 2018</w:t>
      </w:r>
      <w:r w:rsidR="00661FEC" w:rsidRPr="00347524">
        <w:rPr>
          <w:rFonts w:cs="Calibri"/>
          <w:bCs/>
          <w:lang w:val="en-GB"/>
        </w:rPr>
        <w:t>,</w:t>
      </w:r>
      <w:r w:rsidR="008870C4" w:rsidRPr="00347524">
        <w:rPr>
          <w:rFonts w:cs="Calibri"/>
          <w:bCs/>
          <w:lang w:val="en-GB"/>
        </w:rPr>
        <w:t xml:space="preserve"> is</w:t>
      </w:r>
      <w:r w:rsidR="004364A0" w:rsidRPr="00347524">
        <w:rPr>
          <w:rFonts w:cs="Calibri"/>
          <w:bCs/>
          <w:lang w:val="en-GB"/>
        </w:rPr>
        <w:t xml:space="preserve"> consider</w:t>
      </w:r>
      <w:r w:rsidR="008870C4" w:rsidRPr="00347524">
        <w:rPr>
          <w:rFonts w:cs="Calibri"/>
          <w:bCs/>
          <w:lang w:val="en-GB"/>
        </w:rPr>
        <w:t>ing the</w:t>
      </w:r>
      <w:r w:rsidR="004364A0" w:rsidRPr="00347524">
        <w:rPr>
          <w:rFonts w:cs="Calibri"/>
          <w:bCs/>
          <w:lang w:val="en-GB"/>
        </w:rPr>
        <w:t xml:space="preserve"> Norwegian state report during its </w:t>
      </w:r>
      <w:r w:rsidRPr="00347524">
        <w:rPr>
          <w:rFonts w:cs="Calibri"/>
          <w:bCs/>
          <w:lang w:val="en-GB"/>
        </w:rPr>
        <w:t>7th</w:t>
      </w:r>
      <w:r w:rsidR="008870C4" w:rsidRPr="00347524">
        <w:rPr>
          <w:rFonts w:cs="Calibri"/>
          <w:bCs/>
          <w:vertAlign w:val="superscript"/>
          <w:lang w:val="en-GB"/>
        </w:rPr>
        <w:t xml:space="preserve"> </w:t>
      </w:r>
      <w:r w:rsidR="008870C4" w:rsidRPr="00347524">
        <w:rPr>
          <w:rFonts w:cs="Calibri"/>
          <w:bCs/>
          <w:lang w:val="en-GB"/>
        </w:rPr>
        <w:t>reporting cycle.</w:t>
      </w:r>
    </w:p>
    <w:p w:rsidR="008870C4" w:rsidRPr="00347524" w:rsidRDefault="00970CAE" w:rsidP="003C49B8">
      <w:pPr>
        <w:spacing w:line="240" w:lineRule="auto"/>
        <w:rPr>
          <w:rFonts w:cs="Calibri"/>
          <w:bCs/>
          <w:lang w:val="en-GB"/>
        </w:rPr>
      </w:pPr>
      <w:r w:rsidRPr="00347524">
        <w:rPr>
          <w:rFonts w:cs="Calibri"/>
          <w:bCs/>
          <w:lang w:val="en-GB"/>
        </w:rPr>
        <w:t xml:space="preserve">The organizations have drafted different parts of the report and may not have policies in </w:t>
      </w:r>
      <w:r w:rsidR="00661FEC" w:rsidRPr="00347524">
        <w:rPr>
          <w:rFonts w:cs="Calibri"/>
          <w:bCs/>
          <w:lang w:val="en-GB"/>
        </w:rPr>
        <w:t>sections which deal</w:t>
      </w:r>
      <w:r w:rsidRPr="00347524">
        <w:rPr>
          <w:rFonts w:cs="Calibri"/>
          <w:bCs/>
          <w:lang w:val="en-GB"/>
        </w:rPr>
        <w:t xml:space="preserve"> with issues that </w:t>
      </w:r>
      <w:r w:rsidR="00661FEC" w:rsidRPr="00347524">
        <w:rPr>
          <w:rFonts w:cs="Calibri"/>
          <w:bCs/>
          <w:lang w:val="en-GB"/>
        </w:rPr>
        <w:t>are</w:t>
      </w:r>
      <w:r w:rsidRPr="00347524">
        <w:rPr>
          <w:rFonts w:cs="Calibri"/>
          <w:bCs/>
          <w:lang w:val="en-GB"/>
        </w:rPr>
        <w:t xml:space="preserve"> beyond their mandates.</w:t>
      </w:r>
      <w:r w:rsidR="00614396" w:rsidRPr="00347524">
        <w:rPr>
          <w:rFonts w:cs="Calibri"/>
          <w:bCs/>
          <w:lang w:val="en-GB"/>
        </w:rPr>
        <w:t xml:space="preserve"> The same goes for organizations that have endorsed the document.</w:t>
      </w:r>
    </w:p>
    <w:p w:rsidR="00604A2B" w:rsidRPr="00347524" w:rsidRDefault="00604A2B" w:rsidP="003C49B8">
      <w:pPr>
        <w:spacing w:line="240" w:lineRule="auto"/>
        <w:rPr>
          <w:rFonts w:cs="Calibri"/>
          <w:bCs/>
          <w:lang w:val="en-GB"/>
        </w:rPr>
      </w:pPr>
      <w:r w:rsidRPr="00347524">
        <w:rPr>
          <w:rFonts w:cs="Calibri"/>
          <w:bCs/>
          <w:lang w:val="en-GB"/>
        </w:rPr>
        <w:t>The report has been endorsed by the following additional members of the NGO-Forum:</w:t>
      </w:r>
    </w:p>
    <w:p w:rsidR="00604A2B" w:rsidRPr="00347524" w:rsidRDefault="00A46246" w:rsidP="003C49B8">
      <w:pPr>
        <w:pStyle w:val="Listeavsnitt"/>
        <w:numPr>
          <w:ilvl w:val="0"/>
          <w:numId w:val="45"/>
        </w:numPr>
        <w:spacing w:line="240" w:lineRule="auto"/>
        <w:rPr>
          <w:rFonts w:cs="Calibri"/>
          <w:bCs/>
          <w:lang w:val="en-GB"/>
        </w:rPr>
      </w:pPr>
      <w:hyperlink r:id="rId13" w:history="1">
        <w:r w:rsidR="003A663F" w:rsidRPr="00347524">
          <w:rPr>
            <w:rStyle w:val="Hyperkobling"/>
            <w:rFonts w:cs="Calibri"/>
            <w:bCs/>
            <w:lang w:val="en-GB"/>
          </w:rPr>
          <w:t>JURK:  Legal aid for women</w:t>
        </w:r>
      </w:hyperlink>
    </w:p>
    <w:p w:rsidR="003525DE" w:rsidRPr="00347524" w:rsidRDefault="00A46246" w:rsidP="003525DE">
      <w:pPr>
        <w:pStyle w:val="Listeavsnitt"/>
        <w:numPr>
          <w:ilvl w:val="0"/>
          <w:numId w:val="45"/>
        </w:numPr>
        <w:spacing w:line="240" w:lineRule="auto"/>
        <w:rPr>
          <w:rFonts w:cs="Calibri"/>
          <w:bCs/>
          <w:lang w:val="en-GB"/>
        </w:rPr>
      </w:pPr>
      <w:hyperlink r:id="rId14" w:history="1">
        <w:r w:rsidR="003525DE" w:rsidRPr="00347524">
          <w:rPr>
            <w:rStyle w:val="Hyperkobling"/>
            <w:rFonts w:cs="Calibri"/>
            <w:bCs/>
            <w:lang w:val="en-GB"/>
          </w:rPr>
          <w:t>Norwegian Burma Committee</w:t>
        </w:r>
      </w:hyperlink>
    </w:p>
    <w:p w:rsidR="006319AF" w:rsidRPr="00347524" w:rsidRDefault="00A46246" w:rsidP="006319AF">
      <w:pPr>
        <w:pStyle w:val="Listeavsnitt"/>
        <w:numPr>
          <w:ilvl w:val="0"/>
          <w:numId w:val="45"/>
        </w:numPr>
        <w:spacing w:line="240" w:lineRule="auto"/>
        <w:rPr>
          <w:rFonts w:cs="Calibri"/>
          <w:bCs/>
          <w:lang w:val="en-GB"/>
        </w:rPr>
      </w:pPr>
      <w:hyperlink r:id="rId15" w:history="1">
        <w:r w:rsidR="006319AF" w:rsidRPr="00347524">
          <w:rPr>
            <w:rStyle w:val="Hyperkobling"/>
            <w:rFonts w:cs="Calibri"/>
            <w:bCs/>
            <w:lang w:val="en-GB"/>
          </w:rPr>
          <w:t>Save the Children Norway</w:t>
        </w:r>
      </w:hyperlink>
    </w:p>
    <w:p w:rsidR="00347524" w:rsidRPr="00347524" w:rsidRDefault="00347524" w:rsidP="00347524">
      <w:pPr>
        <w:pStyle w:val="Listeavsnitt"/>
        <w:numPr>
          <w:ilvl w:val="0"/>
          <w:numId w:val="45"/>
        </w:numPr>
        <w:spacing w:line="240" w:lineRule="auto"/>
      </w:pPr>
      <w:hyperlink r:id="rId16" w:history="1">
        <w:r w:rsidRPr="00347524">
          <w:rPr>
            <w:rStyle w:val="Hyperkobling"/>
          </w:rPr>
          <w:t>The Human Rights Committee of the Norwegian Bar Association</w:t>
        </w:r>
      </w:hyperlink>
    </w:p>
    <w:p w:rsidR="003525DE" w:rsidRPr="00347524" w:rsidRDefault="00A46246" w:rsidP="003C49B8">
      <w:pPr>
        <w:pStyle w:val="Listeavsnitt"/>
        <w:numPr>
          <w:ilvl w:val="0"/>
          <w:numId w:val="45"/>
        </w:numPr>
        <w:spacing w:line="240" w:lineRule="auto"/>
        <w:rPr>
          <w:rFonts w:cs="Calibri"/>
          <w:bCs/>
          <w:lang w:val="en-GB"/>
        </w:rPr>
      </w:pPr>
      <w:hyperlink r:id="rId17" w:history="1">
        <w:r w:rsidR="003525DE" w:rsidRPr="00347524">
          <w:rPr>
            <w:rStyle w:val="Hyperkobling"/>
            <w:rFonts w:cs="Calibri"/>
            <w:bCs/>
            <w:lang w:val="en-GB"/>
          </w:rPr>
          <w:t>The Norwegian Centre against Racism</w:t>
        </w:r>
      </w:hyperlink>
    </w:p>
    <w:p w:rsidR="00850EF4" w:rsidRPr="00347524" w:rsidRDefault="00A46246" w:rsidP="003C49B8">
      <w:pPr>
        <w:pStyle w:val="Listeavsnitt"/>
        <w:numPr>
          <w:ilvl w:val="0"/>
          <w:numId w:val="45"/>
        </w:numPr>
        <w:spacing w:line="240" w:lineRule="auto"/>
        <w:rPr>
          <w:rFonts w:cs="Calibri"/>
          <w:bCs/>
          <w:lang w:val="en-GB"/>
        </w:rPr>
      </w:pPr>
      <w:hyperlink r:id="rId18" w:history="1">
        <w:r w:rsidR="00850EF4" w:rsidRPr="00347524">
          <w:rPr>
            <w:rStyle w:val="Hyperkobling"/>
            <w:rFonts w:cs="Calibri"/>
            <w:bCs/>
            <w:lang w:val="en-GB"/>
          </w:rPr>
          <w:t>The Norwegian Support Committee for Western Sahara</w:t>
        </w:r>
      </w:hyperlink>
    </w:p>
    <w:p w:rsidR="00850EF4" w:rsidRPr="00347524" w:rsidRDefault="00A46246" w:rsidP="003C49B8">
      <w:pPr>
        <w:pStyle w:val="Listeavsnitt"/>
        <w:numPr>
          <w:ilvl w:val="0"/>
          <w:numId w:val="45"/>
        </w:numPr>
        <w:spacing w:line="240" w:lineRule="auto"/>
        <w:rPr>
          <w:rFonts w:cs="Calibri"/>
          <w:bCs/>
          <w:lang w:val="en-GB"/>
        </w:rPr>
      </w:pPr>
      <w:hyperlink r:id="rId19" w:history="1">
        <w:r w:rsidR="00850EF4" w:rsidRPr="00347524">
          <w:rPr>
            <w:rStyle w:val="Hyperkobling"/>
            <w:rFonts w:cs="Calibri"/>
            <w:bCs/>
            <w:lang w:val="en-GB"/>
          </w:rPr>
          <w:t>United Nations Association of Norway</w:t>
        </w:r>
      </w:hyperlink>
    </w:p>
    <w:p w:rsidR="00B428BF" w:rsidRPr="00347524" w:rsidRDefault="004364A0" w:rsidP="003C49B8">
      <w:pPr>
        <w:spacing w:line="240" w:lineRule="auto"/>
        <w:rPr>
          <w:rFonts w:cs="Calibri"/>
          <w:bCs/>
          <w:lang w:val="en-GB"/>
        </w:rPr>
      </w:pPr>
      <w:r w:rsidRPr="00347524">
        <w:rPr>
          <w:rFonts w:cs="Calibri"/>
          <w:bCs/>
          <w:lang w:val="en-GB"/>
        </w:rPr>
        <w:t xml:space="preserve">The themes of the report have been chosen </w:t>
      </w:r>
      <w:r w:rsidR="008870C4" w:rsidRPr="00347524">
        <w:rPr>
          <w:rFonts w:cs="Calibri"/>
          <w:bCs/>
          <w:lang w:val="en-GB"/>
        </w:rPr>
        <w:t>to address</w:t>
      </w:r>
      <w:r w:rsidR="008D0EBD" w:rsidRPr="00347524">
        <w:rPr>
          <w:rFonts w:cs="Calibri"/>
          <w:bCs/>
          <w:lang w:val="en-GB"/>
        </w:rPr>
        <w:t xml:space="preserve"> some of the</w:t>
      </w:r>
      <w:r w:rsidR="008870C4" w:rsidRPr="00347524">
        <w:rPr>
          <w:rFonts w:cs="Calibri"/>
          <w:bCs/>
          <w:lang w:val="en-GB"/>
        </w:rPr>
        <w:t xml:space="preserve"> issues</w:t>
      </w:r>
      <w:r w:rsidR="00661FEC" w:rsidRPr="00347524">
        <w:rPr>
          <w:rFonts w:cs="Calibri"/>
          <w:bCs/>
          <w:lang w:val="en-GB"/>
        </w:rPr>
        <w:t>,</w:t>
      </w:r>
      <w:r w:rsidR="008870C4" w:rsidRPr="00347524">
        <w:rPr>
          <w:rFonts w:cs="Calibri"/>
          <w:bCs/>
          <w:lang w:val="en-GB"/>
        </w:rPr>
        <w:t xml:space="preserve"> raised in</w:t>
      </w:r>
      <w:r w:rsidRPr="00347524">
        <w:rPr>
          <w:rFonts w:cs="Calibri"/>
          <w:bCs/>
          <w:lang w:val="en-GB"/>
        </w:rPr>
        <w:t xml:space="preserve"> the </w:t>
      </w:r>
      <w:r w:rsidR="00CA10E9" w:rsidRPr="00347524">
        <w:rPr>
          <w:rFonts w:cs="Calibri"/>
          <w:bCs/>
          <w:lang w:val="en-GB"/>
        </w:rPr>
        <w:t xml:space="preserve">Human Rights Committee List of </w:t>
      </w:r>
      <w:r w:rsidR="00CF5B84" w:rsidRPr="00347524">
        <w:rPr>
          <w:rFonts w:cs="Calibri"/>
          <w:bCs/>
          <w:lang w:val="en-GB"/>
        </w:rPr>
        <w:t>I</w:t>
      </w:r>
      <w:r w:rsidR="00CA10E9" w:rsidRPr="00347524">
        <w:rPr>
          <w:rFonts w:cs="Calibri"/>
          <w:bCs/>
          <w:lang w:val="en-GB"/>
        </w:rPr>
        <w:t xml:space="preserve">ssues </w:t>
      </w:r>
      <w:r w:rsidR="00CF5B84" w:rsidRPr="00347524">
        <w:rPr>
          <w:rFonts w:cs="Calibri"/>
          <w:bCs/>
          <w:lang w:val="en-GB"/>
        </w:rPr>
        <w:t>P</w:t>
      </w:r>
      <w:r w:rsidR="00CA10E9" w:rsidRPr="00347524">
        <w:rPr>
          <w:rFonts w:cs="Calibri"/>
          <w:bCs/>
          <w:lang w:val="en-GB"/>
        </w:rPr>
        <w:t xml:space="preserve">rior to </w:t>
      </w:r>
      <w:r w:rsidR="00661FEC" w:rsidRPr="00347524">
        <w:rPr>
          <w:rFonts w:cs="Calibri"/>
          <w:bCs/>
          <w:lang w:val="en-GB"/>
        </w:rPr>
        <w:t xml:space="preserve">the </w:t>
      </w:r>
      <w:r w:rsidR="00CF5B84" w:rsidRPr="00347524">
        <w:rPr>
          <w:rFonts w:cs="Calibri"/>
          <w:bCs/>
          <w:lang w:val="en-GB"/>
        </w:rPr>
        <w:t>S</w:t>
      </w:r>
      <w:r w:rsidR="00CA10E9" w:rsidRPr="00347524">
        <w:rPr>
          <w:rFonts w:cs="Calibri"/>
          <w:bCs/>
          <w:lang w:val="en-GB"/>
        </w:rPr>
        <w:t xml:space="preserve">ubmission of the </w:t>
      </w:r>
      <w:r w:rsidR="00CF5B84" w:rsidRPr="00347524">
        <w:rPr>
          <w:rFonts w:cs="Calibri"/>
          <w:bCs/>
          <w:lang w:val="en-GB"/>
        </w:rPr>
        <w:t>S</w:t>
      </w:r>
      <w:r w:rsidR="00CA10E9" w:rsidRPr="00347524">
        <w:rPr>
          <w:rFonts w:cs="Calibri"/>
          <w:bCs/>
          <w:lang w:val="en-GB"/>
        </w:rPr>
        <w:t>eventh Periodic Report of Norway</w:t>
      </w:r>
      <w:r w:rsidRPr="00347524">
        <w:rPr>
          <w:rFonts w:cs="Calibri"/>
          <w:bCs/>
          <w:lang w:val="en-GB"/>
        </w:rPr>
        <w:t xml:space="preserve">. </w:t>
      </w:r>
      <w:r w:rsidR="00B428BF" w:rsidRPr="00347524">
        <w:rPr>
          <w:rFonts w:cs="Calibri"/>
          <w:bCs/>
          <w:lang w:val="en-GB"/>
        </w:rPr>
        <w:t>There are references</w:t>
      </w:r>
      <w:r w:rsidR="00CA10E9" w:rsidRPr="00347524">
        <w:rPr>
          <w:rFonts w:cs="Calibri"/>
          <w:bCs/>
          <w:lang w:val="en-GB"/>
        </w:rPr>
        <w:t xml:space="preserve"> by way of numbers</w:t>
      </w:r>
      <w:r w:rsidR="00B428BF" w:rsidRPr="00347524">
        <w:rPr>
          <w:rFonts w:cs="Calibri"/>
          <w:bCs/>
          <w:lang w:val="en-GB"/>
        </w:rPr>
        <w:t xml:space="preserve"> to the list of i</w:t>
      </w:r>
      <w:r w:rsidR="00FA1B5E" w:rsidRPr="00347524">
        <w:rPr>
          <w:rFonts w:cs="Calibri"/>
          <w:bCs/>
          <w:lang w:val="en-GB"/>
        </w:rPr>
        <w:t xml:space="preserve">ssues </w:t>
      </w:r>
      <w:r w:rsidR="00BC59BC" w:rsidRPr="00347524">
        <w:rPr>
          <w:rFonts w:cs="Calibri"/>
          <w:bCs/>
          <w:lang w:val="en-GB"/>
        </w:rPr>
        <w:t>in each</w:t>
      </w:r>
      <w:r w:rsidR="00FA1B5E" w:rsidRPr="00347524">
        <w:rPr>
          <w:rFonts w:cs="Calibri"/>
          <w:bCs/>
          <w:lang w:val="en-GB"/>
        </w:rPr>
        <w:t xml:space="preserve"> section title.</w:t>
      </w:r>
    </w:p>
    <w:p w:rsidR="00D6295B" w:rsidRPr="00347524" w:rsidRDefault="00B428BF" w:rsidP="003C49B8">
      <w:pPr>
        <w:spacing w:line="240" w:lineRule="auto"/>
        <w:rPr>
          <w:rFonts w:cs="Times New Roman"/>
          <w:lang w:val="en-GB"/>
        </w:rPr>
      </w:pPr>
      <w:r w:rsidRPr="00347524">
        <w:rPr>
          <w:rFonts w:cs="Calibri"/>
          <w:bCs/>
          <w:lang w:val="en-GB"/>
        </w:rPr>
        <w:t xml:space="preserve">This report does not intend to be a comprehensive statement of problems in Norway under the </w:t>
      </w:r>
      <w:r w:rsidR="00CA10E9" w:rsidRPr="00347524">
        <w:rPr>
          <w:rFonts w:cs="Calibri"/>
          <w:bCs/>
          <w:lang w:val="en-GB"/>
        </w:rPr>
        <w:t>C</w:t>
      </w:r>
      <w:r w:rsidR="00422ADA" w:rsidRPr="00347524">
        <w:rPr>
          <w:rFonts w:cs="Calibri"/>
          <w:bCs/>
          <w:lang w:val="en-GB"/>
        </w:rPr>
        <w:t xml:space="preserve">ovenant on </w:t>
      </w:r>
      <w:r w:rsidR="00CA10E9" w:rsidRPr="00347524">
        <w:rPr>
          <w:rFonts w:cs="Calibri"/>
          <w:bCs/>
          <w:lang w:val="en-GB"/>
        </w:rPr>
        <w:t>C</w:t>
      </w:r>
      <w:r w:rsidR="00422ADA" w:rsidRPr="00347524">
        <w:rPr>
          <w:rFonts w:cs="Calibri"/>
          <w:bCs/>
          <w:lang w:val="en-GB"/>
        </w:rPr>
        <w:t xml:space="preserve">ivil and </w:t>
      </w:r>
      <w:r w:rsidR="00CA10E9" w:rsidRPr="00347524">
        <w:rPr>
          <w:rFonts w:cs="Calibri"/>
          <w:bCs/>
          <w:lang w:val="en-GB"/>
        </w:rPr>
        <w:t>P</w:t>
      </w:r>
      <w:r w:rsidR="00422ADA" w:rsidRPr="00347524">
        <w:rPr>
          <w:rFonts w:cs="Calibri"/>
          <w:bCs/>
          <w:lang w:val="en-GB"/>
        </w:rPr>
        <w:t xml:space="preserve">olitical </w:t>
      </w:r>
      <w:r w:rsidR="00CA10E9" w:rsidRPr="00347524">
        <w:rPr>
          <w:rFonts w:cs="Calibri"/>
          <w:bCs/>
          <w:lang w:val="en-GB"/>
        </w:rPr>
        <w:t>R</w:t>
      </w:r>
      <w:r w:rsidR="00422ADA" w:rsidRPr="00347524">
        <w:rPr>
          <w:rFonts w:cs="Calibri"/>
          <w:bCs/>
          <w:lang w:val="en-GB"/>
        </w:rPr>
        <w:t>ights</w:t>
      </w:r>
      <w:r w:rsidRPr="00347524">
        <w:rPr>
          <w:rFonts w:cs="Calibri"/>
          <w:bCs/>
          <w:lang w:val="en-GB"/>
        </w:rPr>
        <w:t xml:space="preserve">. </w:t>
      </w:r>
      <w:r w:rsidR="004364A0" w:rsidRPr="00347524">
        <w:rPr>
          <w:rFonts w:cs="Calibri"/>
          <w:bCs/>
          <w:lang w:val="en-GB"/>
        </w:rPr>
        <w:t>The fact that a</w:t>
      </w:r>
      <w:r w:rsidR="00967E66" w:rsidRPr="00347524">
        <w:rPr>
          <w:rFonts w:cs="Calibri"/>
          <w:bCs/>
          <w:lang w:val="en-GB"/>
        </w:rPr>
        <w:t>n issue</w:t>
      </w:r>
      <w:r w:rsidR="004364A0" w:rsidRPr="00347524">
        <w:rPr>
          <w:rFonts w:cs="Calibri"/>
          <w:bCs/>
          <w:lang w:val="en-GB"/>
        </w:rPr>
        <w:t xml:space="preserve"> is not addressed </w:t>
      </w:r>
      <w:r w:rsidR="00967E66" w:rsidRPr="00347524">
        <w:rPr>
          <w:rFonts w:cs="Calibri"/>
          <w:bCs/>
          <w:lang w:val="en-GB"/>
        </w:rPr>
        <w:t xml:space="preserve">in the report </w:t>
      </w:r>
      <w:r w:rsidR="004364A0" w:rsidRPr="00347524">
        <w:rPr>
          <w:rFonts w:cs="Calibri"/>
          <w:bCs/>
          <w:lang w:val="en-GB"/>
        </w:rPr>
        <w:t xml:space="preserve">does not mean that </w:t>
      </w:r>
      <w:r w:rsidR="00967E66" w:rsidRPr="00347524">
        <w:rPr>
          <w:rFonts w:cs="Calibri"/>
          <w:bCs/>
          <w:lang w:val="en-GB"/>
        </w:rPr>
        <w:t xml:space="preserve">it </w:t>
      </w:r>
      <w:r w:rsidR="004364A0" w:rsidRPr="00347524">
        <w:rPr>
          <w:rFonts w:cs="Calibri"/>
          <w:bCs/>
          <w:lang w:val="en-GB"/>
        </w:rPr>
        <w:t>is not a relevant human rights concern</w:t>
      </w:r>
      <w:r w:rsidR="008870C4" w:rsidRPr="00347524">
        <w:rPr>
          <w:rFonts w:cs="Times New Roman"/>
          <w:lang w:val="en-GB"/>
        </w:rPr>
        <w:t>.</w:t>
      </w:r>
      <w:r w:rsidR="00D6295B" w:rsidRPr="00347524">
        <w:rPr>
          <w:rFonts w:cs="Times New Roman"/>
          <w:lang w:val="en-GB"/>
        </w:rPr>
        <w:t xml:space="preserve"> </w:t>
      </w:r>
    </w:p>
    <w:p w:rsidR="001D75CA" w:rsidRPr="00347524" w:rsidRDefault="004364A0" w:rsidP="003C49B8">
      <w:pPr>
        <w:spacing w:line="240" w:lineRule="auto"/>
        <w:rPr>
          <w:rFonts w:cs="Calibri"/>
          <w:bCs/>
          <w:lang w:val="en-GB"/>
        </w:rPr>
      </w:pPr>
      <w:r w:rsidRPr="00347524">
        <w:rPr>
          <w:rFonts w:cs="Calibri"/>
          <w:bCs/>
          <w:lang w:val="en-GB"/>
        </w:rPr>
        <w:t xml:space="preserve">The views </w:t>
      </w:r>
      <w:r w:rsidR="00B428BF" w:rsidRPr="00347524">
        <w:rPr>
          <w:rFonts w:cs="Calibri"/>
          <w:bCs/>
          <w:lang w:val="en-GB"/>
        </w:rPr>
        <w:t>in th</w:t>
      </w:r>
      <w:r w:rsidR="00967E66" w:rsidRPr="00347524">
        <w:rPr>
          <w:rFonts w:cs="Calibri"/>
          <w:bCs/>
          <w:lang w:val="en-GB"/>
        </w:rPr>
        <w:t>e</w:t>
      </w:r>
      <w:r w:rsidR="00B428BF" w:rsidRPr="00347524">
        <w:rPr>
          <w:rFonts w:cs="Calibri"/>
          <w:bCs/>
          <w:lang w:val="en-GB"/>
        </w:rPr>
        <w:t xml:space="preserve"> report </w:t>
      </w:r>
      <w:r w:rsidRPr="00347524">
        <w:rPr>
          <w:rFonts w:cs="Calibri"/>
          <w:bCs/>
          <w:lang w:val="en-GB"/>
        </w:rPr>
        <w:t xml:space="preserve">are solely on behalf of the organizations listed above. </w:t>
      </w:r>
      <w:r w:rsidR="008870C4" w:rsidRPr="00347524">
        <w:rPr>
          <w:rFonts w:cs="Calibri"/>
          <w:bCs/>
          <w:lang w:val="en-GB"/>
        </w:rPr>
        <w:t xml:space="preserve">The report was edited by </w:t>
      </w:r>
      <w:r w:rsidR="001D75CA" w:rsidRPr="00347524">
        <w:rPr>
          <w:rFonts w:cs="Calibri"/>
          <w:bCs/>
          <w:lang w:val="en-GB"/>
        </w:rPr>
        <w:t>Gunnar M. Ekelove-Slydal</w:t>
      </w:r>
      <w:r w:rsidR="008870C4" w:rsidRPr="00347524">
        <w:rPr>
          <w:rFonts w:cs="Calibri"/>
          <w:bCs/>
          <w:lang w:val="en-GB"/>
        </w:rPr>
        <w:t xml:space="preserve">, </w:t>
      </w:r>
      <w:r w:rsidR="001D75CA" w:rsidRPr="00347524">
        <w:rPr>
          <w:rFonts w:cs="Calibri"/>
          <w:bCs/>
          <w:lang w:val="en-GB"/>
        </w:rPr>
        <w:t xml:space="preserve">Deputy Secretary General, </w:t>
      </w:r>
      <w:proofErr w:type="gramStart"/>
      <w:r w:rsidR="001D75CA" w:rsidRPr="00347524">
        <w:rPr>
          <w:rFonts w:cs="Calibri"/>
          <w:bCs/>
          <w:lang w:val="en-GB"/>
        </w:rPr>
        <w:t>Norwegian</w:t>
      </w:r>
      <w:proofErr w:type="gramEnd"/>
      <w:r w:rsidR="001D75CA" w:rsidRPr="00347524">
        <w:rPr>
          <w:rFonts w:cs="Calibri"/>
          <w:bCs/>
          <w:lang w:val="en-GB"/>
        </w:rPr>
        <w:t xml:space="preserve"> Helsinki Committee.</w:t>
      </w:r>
    </w:p>
    <w:p w:rsidR="004364A0" w:rsidRPr="00347524" w:rsidRDefault="004364A0" w:rsidP="003C49B8">
      <w:pPr>
        <w:spacing w:line="240" w:lineRule="auto"/>
        <w:rPr>
          <w:rFonts w:cs="Calibri"/>
          <w:bCs/>
          <w:lang w:val="en-GB"/>
        </w:rPr>
      </w:pPr>
      <w:r w:rsidRPr="00347524">
        <w:rPr>
          <w:rFonts w:cs="Calibri"/>
          <w:bCs/>
          <w:lang w:val="en-GB"/>
        </w:rPr>
        <w:t xml:space="preserve">The Norwegian NGO-Forum </w:t>
      </w:r>
      <w:r w:rsidR="001D068B" w:rsidRPr="00347524">
        <w:rPr>
          <w:rFonts w:cs="Calibri"/>
          <w:bCs/>
          <w:lang w:val="en-GB"/>
        </w:rPr>
        <w:t>for Human Rights can be reached</w:t>
      </w:r>
      <w:r w:rsidR="001F5CA4" w:rsidRPr="00347524">
        <w:rPr>
          <w:rFonts w:cs="Calibri"/>
          <w:bCs/>
          <w:lang w:val="en-GB"/>
        </w:rPr>
        <w:t xml:space="preserve"> by contacting its </w:t>
      </w:r>
      <w:r w:rsidR="00FE226E" w:rsidRPr="00347524">
        <w:rPr>
          <w:rFonts w:cs="Calibri"/>
          <w:bCs/>
          <w:lang w:val="en-GB"/>
        </w:rPr>
        <w:t>coordinator</w:t>
      </w:r>
      <w:r w:rsidR="001D068B" w:rsidRPr="00347524">
        <w:rPr>
          <w:rFonts w:cs="Calibri"/>
          <w:bCs/>
          <w:lang w:val="en-GB"/>
        </w:rPr>
        <w:t>: Gunnar M. Ekelove-Slydal,</w:t>
      </w:r>
      <w:r w:rsidR="008870C4" w:rsidRPr="00347524">
        <w:rPr>
          <w:rFonts w:cs="Calibri"/>
          <w:bCs/>
          <w:lang w:val="en-GB"/>
        </w:rPr>
        <w:t xml:space="preserve"> email: </w:t>
      </w:r>
      <w:hyperlink r:id="rId20" w:history="1">
        <w:r w:rsidR="008870C4" w:rsidRPr="00347524">
          <w:rPr>
            <w:rStyle w:val="Hyperkobling"/>
            <w:rFonts w:cs="Calibri"/>
            <w:bCs/>
            <w:color w:val="auto"/>
            <w:lang w:val="en-GB"/>
          </w:rPr>
          <w:t>Ekelove-slydal@nhc.no</w:t>
        </w:r>
      </w:hyperlink>
      <w:r w:rsidR="00BC59BC" w:rsidRPr="00347524">
        <w:rPr>
          <w:rFonts w:cs="Calibri"/>
          <w:bCs/>
          <w:lang w:val="en-GB"/>
        </w:rPr>
        <w:t>; telephone: +47 95210307.</w:t>
      </w:r>
    </w:p>
    <w:p w:rsidR="001F5CA4" w:rsidRPr="00347524" w:rsidRDefault="00FE226E" w:rsidP="00614396">
      <w:pPr>
        <w:spacing w:line="240" w:lineRule="auto"/>
        <w:rPr>
          <w:rFonts w:cs="Calibri"/>
          <w:bCs/>
          <w:lang w:val="en-GB"/>
        </w:rPr>
      </w:pPr>
      <w:r w:rsidRPr="00347524">
        <w:rPr>
          <w:lang w:val="en-GB"/>
        </w:rPr>
        <w:t xml:space="preserve">Oslo </w:t>
      </w:r>
      <w:r w:rsidR="001C5B44" w:rsidRPr="00347524">
        <w:rPr>
          <w:lang w:val="en-GB"/>
        </w:rPr>
        <w:t>1</w:t>
      </w:r>
      <w:r w:rsidR="00E667DA" w:rsidRPr="00347524">
        <w:rPr>
          <w:lang w:val="en-GB"/>
        </w:rPr>
        <w:t>2</w:t>
      </w:r>
      <w:r w:rsidR="001D75CA" w:rsidRPr="00347524">
        <w:rPr>
          <w:lang w:val="en-GB"/>
        </w:rPr>
        <w:t xml:space="preserve"> February</w:t>
      </w:r>
      <w:r w:rsidRPr="00347524">
        <w:rPr>
          <w:lang w:val="en-GB"/>
        </w:rPr>
        <w:t xml:space="preserve"> 201</w:t>
      </w:r>
      <w:r w:rsidR="001C5B44" w:rsidRPr="00347524">
        <w:rPr>
          <w:lang w:val="en-GB"/>
        </w:rPr>
        <w:t>8</w:t>
      </w:r>
      <w:r w:rsidR="001F5CA4" w:rsidRPr="00347524">
        <w:rPr>
          <w:rFonts w:cs="Calibri"/>
          <w:bCs/>
          <w:lang w:val="en-GB"/>
        </w:rPr>
        <w:br w:type="page"/>
      </w:r>
    </w:p>
    <w:p w:rsidR="00B428BF" w:rsidRPr="00347524" w:rsidRDefault="00B428BF" w:rsidP="003C49B8">
      <w:pPr>
        <w:pStyle w:val="Overskriftforinnholdsfortegnelse"/>
        <w:spacing w:line="240" w:lineRule="auto"/>
        <w:rPr>
          <w:rFonts w:asciiTheme="minorHAnsi" w:eastAsiaTheme="minorHAnsi" w:hAnsiTheme="minorHAnsi" w:cstheme="minorBidi"/>
          <w:color w:val="auto"/>
          <w:sz w:val="22"/>
          <w:szCs w:val="22"/>
          <w:lang w:val="en-GB" w:eastAsia="en-US"/>
        </w:rPr>
      </w:pPr>
    </w:p>
    <w:p w:rsidR="00394869" w:rsidRPr="00347524" w:rsidRDefault="00394869" w:rsidP="00394869">
      <w:pPr>
        <w:rPr>
          <w:lang w:val="en-GB"/>
        </w:rPr>
      </w:pPr>
    </w:p>
    <w:p w:rsidR="00394869" w:rsidRPr="00347524" w:rsidRDefault="00394869" w:rsidP="00394869">
      <w:pPr>
        <w:rPr>
          <w:lang w:val="en-GB"/>
        </w:rPr>
      </w:pPr>
    </w:p>
    <w:p w:rsidR="00394869" w:rsidRPr="00347524" w:rsidRDefault="00394869" w:rsidP="00394869">
      <w:pPr>
        <w:rPr>
          <w:lang w:val="en-GB"/>
        </w:rPr>
      </w:pPr>
    </w:p>
    <w:sdt>
      <w:sdtPr>
        <w:rPr>
          <w:rFonts w:asciiTheme="minorHAnsi" w:eastAsiaTheme="minorHAnsi" w:hAnsiTheme="minorHAnsi" w:cstheme="minorBidi"/>
          <w:color w:val="auto"/>
          <w:sz w:val="22"/>
          <w:szCs w:val="22"/>
          <w:lang w:val="en-GB" w:eastAsia="en-US"/>
        </w:rPr>
        <w:id w:val="2096669715"/>
        <w:docPartObj>
          <w:docPartGallery w:val="Table of Contents"/>
          <w:docPartUnique/>
        </w:docPartObj>
      </w:sdtPr>
      <w:sdtEndPr>
        <w:rPr>
          <w:b/>
          <w:bCs/>
        </w:rPr>
      </w:sdtEndPr>
      <w:sdtContent>
        <w:p w:rsidR="004364A0" w:rsidRPr="00347524" w:rsidRDefault="004364A0" w:rsidP="003C49B8">
          <w:pPr>
            <w:pStyle w:val="Overskriftforinnholdsfortegnelse"/>
            <w:spacing w:line="240" w:lineRule="auto"/>
            <w:rPr>
              <w:rFonts w:asciiTheme="minorHAnsi" w:hAnsiTheme="minorHAnsi"/>
              <w:b/>
              <w:color w:val="1F497D" w:themeColor="text2"/>
              <w:sz w:val="28"/>
              <w:szCs w:val="22"/>
              <w:lang w:val="en-GB"/>
            </w:rPr>
          </w:pPr>
          <w:r w:rsidRPr="00347524">
            <w:rPr>
              <w:rFonts w:asciiTheme="minorHAnsi" w:hAnsiTheme="minorHAnsi"/>
              <w:b/>
              <w:color w:val="1F497D" w:themeColor="text2"/>
              <w:sz w:val="28"/>
              <w:szCs w:val="22"/>
              <w:lang w:val="en-GB"/>
            </w:rPr>
            <w:t>Content</w:t>
          </w:r>
          <w:r w:rsidR="001F5CA4" w:rsidRPr="00347524">
            <w:rPr>
              <w:rFonts w:asciiTheme="minorHAnsi" w:hAnsiTheme="minorHAnsi"/>
              <w:b/>
              <w:color w:val="1F497D" w:themeColor="text2"/>
              <w:sz w:val="28"/>
              <w:szCs w:val="22"/>
              <w:lang w:val="en-GB"/>
            </w:rPr>
            <w:t>s</w:t>
          </w:r>
        </w:p>
        <w:p w:rsidR="001E3A1E" w:rsidRPr="00347524" w:rsidRDefault="001E3A1E" w:rsidP="003C49B8">
          <w:pPr>
            <w:spacing w:line="240" w:lineRule="auto"/>
            <w:rPr>
              <w:b/>
              <w:lang w:val="en-GB" w:eastAsia="nb-NO"/>
            </w:rPr>
          </w:pPr>
        </w:p>
        <w:p w:rsidR="00347524" w:rsidRPr="00347524" w:rsidRDefault="004364A0" w:rsidP="00347524">
          <w:pPr>
            <w:pStyle w:val="INNH1"/>
            <w:tabs>
              <w:tab w:val="right" w:leader="dot" w:pos="9062"/>
            </w:tabs>
            <w:spacing w:line="360" w:lineRule="auto"/>
            <w:rPr>
              <w:rFonts w:eastAsiaTheme="minorEastAsia"/>
              <w:noProof/>
              <w:lang w:val="en-GB" w:eastAsia="en-GB"/>
            </w:rPr>
          </w:pPr>
          <w:r w:rsidRPr="00347524">
            <w:rPr>
              <w:lang w:val="en-GB"/>
            </w:rPr>
            <w:fldChar w:fldCharType="begin"/>
          </w:r>
          <w:r w:rsidRPr="00347524">
            <w:rPr>
              <w:lang w:val="en-GB"/>
            </w:rPr>
            <w:instrText xml:space="preserve"> TOC \o "1-3" \h \z \u </w:instrText>
          </w:r>
          <w:r w:rsidRPr="00347524">
            <w:rPr>
              <w:lang w:val="en-GB"/>
            </w:rPr>
            <w:fldChar w:fldCharType="separate"/>
          </w:r>
          <w:hyperlink w:anchor="_Toc508351731" w:history="1">
            <w:r w:rsidR="00347524" w:rsidRPr="00347524">
              <w:rPr>
                <w:rStyle w:val="Hyperkobling"/>
                <w:noProof/>
                <w:lang w:val="en-GB"/>
              </w:rPr>
              <w:t>1-2 General information</w:t>
            </w:r>
            <w:r w:rsidR="00347524" w:rsidRPr="00347524">
              <w:rPr>
                <w:noProof/>
                <w:webHidden/>
              </w:rPr>
              <w:tab/>
            </w:r>
            <w:r w:rsidR="00347524" w:rsidRPr="00347524">
              <w:rPr>
                <w:noProof/>
                <w:webHidden/>
              </w:rPr>
              <w:fldChar w:fldCharType="begin"/>
            </w:r>
            <w:r w:rsidR="00347524" w:rsidRPr="00347524">
              <w:rPr>
                <w:noProof/>
                <w:webHidden/>
              </w:rPr>
              <w:instrText xml:space="preserve"> PAGEREF _Toc508351731 \h </w:instrText>
            </w:r>
            <w:r w:rsidR="00347524" w:rsidRPr="00347524">
              <w:rPr>
                <w:noProof/>
                <w:webHidden/>
              </w:rPr>
            </w:r>
            <w:r w:rsidR="00347524" w:rsidRPr="00347524">
              <w:rPr>
                <w:noProof/>
                <w:webHidden/>
              </w:rPr>
              <w:fldChar w:fldCharType="separate"/>
            </w:r>
            <w:r w:rsidR="00347524" w:rsidRPr="00347524">
              <w:rPr>
                <w:noProof/>
                <w:webHidden/>
              </w:rPr>
              <w:t>3</w:t>
            </w:r>
            <w:r w:rsidR="00347524"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2" w:history="1">
            <w:r w:rsidRPr="00347524">
              <w:rPr>
                <w:rStyle w:val="Hyperkobling"/>
                <w:noProof/>
                <w:lang w:val="en-GB"/>
              </w:rPr>
              <w:t>3-4 Constitutional and legal framework on the implementation of article 1-27</w:t>
            </w:r>
            <w:r w:rsidRPr="00347524">
              <w:rPr>
                <w:noProof/>
                <w:webHidden/>
              </w:rPr>
              <w:tab/>
            </w:r>
            <w:r w:rsidRPr="00347524">
              <w:rPr>
                <w:noProof/>
                <w:webHidden/>
              </w:rPr>
              <w:fldChar w:fldCharType="begin"/>
            </w:r>
            <w:r w:rsidRPr="00347524">
              <w:rPr>
                <w:noProof/>
                <w:webHidden/>
              </w:rPr>
              <w:instrText xml:space="preserve"> PAGEREF _Toc508351732 \h </w:instrText>
            </w:r>
            <w:r w:rsidRPr="00347524">
              <w:rPr>
                <w:noProof/>
                <w:webHidden/>
              </w:rPr>
            </w:r>
            <w:r w:rsidRPr="00347524">
              <w:rPr>
                <w:noProof/>
                <w:webHidden/>
              </w:rPr>
              <w:fldChar w:fldCharType="separate"/>
            </w:r>
            <w:r w:rsidRPr="00347524">
              <w:rPr>
                <w:noProof/>
                <w:webHidden/>
              </w:rPr>
              <w:t>3</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3" w:history="1">
            <w:r w:rsidRPr="00347524">
              <w:rPr>
                <w:rStyle w:val="Hyperkobling"/>
                <w:noProof/>
                <w:lang w:val="en-GB"/>
              </w:rPr>
              <w:t>5-8 Non-discrimination, equality between men and women (arts. 2, para. 1, 3, 20 and 26)</w:t>
            </w:r>
            <w:r w:rsidRPr="00347524">
              <w:rPr>
                <w:noProof/>
                <w:webHidden/>
              </w:rPr>
              <w:tab/>
            </w:r>
            <w:r w:rsidRPr="00347524">
              <w:rPr>
                <w:noProof/>
                <w:webHidden/>
              </w:rPr>
              <w:fldChar w:fldCharType="begin"/>
            </w:r>
            <w:r w:rsidRPr="00347524">
              <w:rPr>
                <w:noProof/>
                <w:webHidden/>
              </w:rPr>
              <w:instrText xml:space="preserve"> PAGEREF _Toc508351733 \h </w:instrText>
            </w:r>
            <w:r w:rsidRPr="00347524">
              <w:rPr>
                <w:noProof/>
                <w:webHidden/>
              </w:rPr>
            </w:r>
            <w:r w:rsidRPr="00347524">
              <w:rPr>
                <w:noProof/>
                <w:webHidden/>
              </w:rPr>
              <w:fldChar w:fldCharType="separate"/>
            </w:r>
            <w:r w:rsidRPr="00347524">
              <w:rPr>
                <w:noProof/>
                <w:webHidden/>
              </w:rPr>
              <w:t>5</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4" w:history="1">
            <w:r w:rsidRPr="00347524">
              <w:rPr>
                <w:rStyle w:val="Hyperkobling"/>
                <w:noProof/>
                <w:lang w:val="en-GB"/>
              </w:rPr>
              <w:t>9 Violence against women (arts. 3, 7 and 26)</w:t>
            </w:r>
            <w:r w:rsidRPr="00347524">
              <w:rPr>
                <w:noProof/>
                <w:webHidden/>
              </w:rPr>
              <w:tab/>
            </w:r>
            <w:r w:rsidRPr="00347524">
              <w:rPr>
                <w:noProof/>
                <w:webHidden/>
              </w:rPr>
              <w:fldChar w:fldCharType="begin"/>
            </w:r>
            <w:r w:rsidRPr="00347524">
              <w:rPr>
                <w:noProof/>
                <w:webHidden/>
              </w:rPr>
              <w:instrText xml:space="preserve"> PAGEREF _Toc508351734 \h </w:instrText>
            </w:r>
            <w:r w:rsidRPr="00347524">
              <w:rPr>
                <w:noProof/>
                <w:webHidden/>
              </w:rPr>
            </w:r>
            <w:r w:rsidRPr="00347524">
              <w:rPr>
                <w:noProof/>
                <w:webHidden/>
              </w:rPr>
              <w:fldChar w:fldCharType="separate"/>
            </w:r>
            <w:r w:rsidRPr="00347524">
              <w:rPr>
                <w:noProof/>
                <w:webHidden/>
              </w:rPr>
              <w:t>6</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5" w:history="1">
            <w:r w:rsidRPr="00347524">
              <w:rPr>
                <w:rStyle w:val="Hyperkobling"/>
                <w:noProof/>
                <w:lang w:val="en-GB"/>
              </w:rPr>
              <w:t>12-15 Right to liberty and security of person, treatment of persons deprived of their liberty and fair trial (arts. 7, 9, 10 and 14)</w:t>
            </w:r>
            <w:r w:rsidRPr="00347524">
              <w:rPr>
                <w:noProof/>
                <w:webHidden/>
              </w:rPr>
              <w:tab/>
            </w:r>
            <w:r w:rsidRPr="00347524">
              <w:rPr>
                <w:noProof/>
                <w:webHidden/>
              </w:rPr>
              <w:fldChar w:fldCharType="begin"/>
            </w:r>
            <w:r w:rsidRPr="00347524">
              <w:rPr>
                <w:noProof/>
                <w:webHidden/>
              </w:rPr>
              <w:instrText xml:space="preserve"> PAGEREF _Toc508351735 \h </w:instrText>
            </w:r>
            <w:r w:rsidRPr="00347524">
              <w:rPr>
                <w:noProof/>
                <w:webHidden/>
              </w:rPr>
            </w:r>
            <w:r w:rsidRPr="00347524">
              <w:rPr>
                <w:noProof/>
                <w:webHidden/>
              </w:rPr>
              <w:fldChar w:fldCharType="separate"/>
            </w:r>
            <w:r w:rsidRPr="00347524">
              <w:rPr>
                <w:noProof/>
                <w:webHidden/>
              </w:rPr>
              <w:t>7</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6" w:history="1">
            <w:r w:rsidRPr="00347524">
              <w:rPr>
                <w:rStyle w:val="Hyperkobling"/>
                <w:noProof/>
                <w:lang w:val="en-GB"/>
              </w:rPr>
              <w:t>16-17 Refugees and asylum seekers (arts. 2, 7, 9 and 13)</w:t>
            </w:r>
            <w:r w:rsidRPr="00347524">
              <w:rPr>
                <w:noProof/>
                <w:webHidden/>
              </w:rPr>
              <w:tab/>
            </w:r>
            <w:r w:rsidRPr="00347524">
              <w:rPr>
                <w:noProof/>
                <w:webHidden/>
              </w:rPr>
              <w:fldChar w:fldCharType="begin"/>
            </w:r>
            <w:r w:rsidRPr="00347524">
              <w:rPr>
                <w:noProof/>
                <w:webHidden/>
              </w:rPr>
              <w:instrText xml:space="preserve"> PAGEREF _Toc508351736 \h </w:instrText>
            </w:r>
            <w:r w:rsidRPr="00347524">
              <w:rPr>
                <w:noProof/>
                <w:webHidden/>
              </w:rPr>
            </w:r>
            <w:r w:rsidRPr="00347524">
              <w:rPr>
                <w:noProof/>
                <w:webHidden/>
              </w:rPr>
              <w:fldChar w:fldCharType="separate"/>
            </w:r>
            <w:r w:rsidRPr="00347524">
              <w:rPr>
                <w:noProof/>
                <w:webHidden/>
              </w:rPr>
              <w:t>9</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7" w:history="1">
            <w:r w:rsidRPr="00347524">
              <w:rPr>
                <w:rStyle w:val="Hyperkobling"/>
                <w:bCs/>
                <w:noProof/>
                <w:lang w:val="en-GB"/>
              </w:rPr>
              <w:t>18. Statelessness</w:t>
            </w:r>
            <w:r w:rsidRPr="00347524">
              <w:rPr>
                <w:noProof/>
                <w:webHidden/>
              </w:rPr>
              <w:tab/>
            </w:r>
            <w:r w:rsidRPr="00347524">
              <w:rPr>
                <w:noProof/>
                <w:webHidden/>
              </w:rPr>
              <w:fldChar w:fldCharType="begin"/>
            </w:r>
            <w:r w:rsidRPr="00347524">
              <w:rPr>
                <w:noProof/>
                <w:webHidden/>
              </w:rPr>
              <w:instrText xml:space="preserve"> PAGEREF _Toc508351737 \h </w:instrText>
            </w:r>
            <w:r w:rsidRPr="00347524">
              <w:rPr>
                <w:noProof/>
                <w:webHidden/>
              </w:rPr>
            </w:r>
            <w:r w:rsidRPr="00347524">
              <w:rPr>
                <w:noProof/>
                <w:webHidden/>
              </w:rPr>
              <w:fldChar w:fldCharType="separate"/>
            </w:r>
            <w:r w:rsidRPr="00347524">
              <w:rPr>
                <w:noProof/>
                <w:webHidden/>
              </w:rPr>
              <w:t>16</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8" w:history="1">
            <w:r w:rsidRPr="00347524">
              <w:rPr>
                <w:rStyle w:val="Hyperkobling"/>
                <w:bCs/>
                <w:noProof/>
                <w:lang w:val="en-GB"/>
              </w:rPr>
              <w:t>19-22. Rights of persons belonging to minorities (arts. 23, 24, 26 and 27)</w:t>
            </w:r>
            <w:r w:rsidRPr="00347524">
              <w:rPr>
                <w:noProof/>
                <w:webHidden/>
              </w:rPr>
              <w:tab/>
            </w:r>
            <w:r w:rsidRPr="00347524">
              <w:rPr>
                <w:noProof/>
                <w:webHidden/>
              </w:rPr>
              <w:fldChar w:fldCharType="begin"/>
            </w:r>
            <w:r w:rsidRPr="00347524">
              <w:rPr>
                <w:noProof/>
                <w:webHidden/>
              </w:rPr>
              <w:instrText xml:space="preserve"> PAGEREF _Toc508351738 \h </w:instrText>
            </w:r>
            <w:r w:rsidRPr="00347524">
              <w:rPr>
                <w:noProof/>
                <w:webHidden/>
              </w:rPr>
            </w:r>
            <w:r w:rsidRPr="00347524">
              <w:rPr>
                <w:noProof/>
                <w:webHidden/>
              </w:rPr>
              <w:fldChar w:fldCharType="separate"/>
            </w:r>
            <w:r w:rsidRPr="00347524">
              <w:rPr>
                <w:noProof/>
                <w:webHidden/>
              </w:rPr>
              <w:t>17</w:t>
            </w:r>
            <w:r w:rsidRPr="00347524">
              <w:rPr>
                <w:noProof/>
                <w:webHidden/>
              </w:rPr>
              <w:fldChar w:fldCharType="end"/>
            </w:r>
          </w:hyperlink>
        </w:p>
        <w:p w:rsidR="00347524" w:rsidRPr="00347524" w:rsidRDefault="00347524" w:rsidP="00347524">
          <w:pPr>
            <w:pStyle w:val="INNH1"/>
            <w:tabs>
              <w:tab w:val="right" w:leader="dot" w:pos="9062"/>
            </w:tabs>
            <w:spacing w:line="360" w:lineRule="auto"/>
            <w:rPr>
              <w:rFonts w:eastAsiaTheme="minorEastAsia"/>
              <w:noProof/>
              <w:lang w:val="en-GB" w:eastAsia="en-GB"/>
            </w:rPr>
          </w:pPr>
          <w:hyperlink w:anchor="_Toc508351739" w:history="1">
            <w:r w:rsidRPr="00347524">
              <w:rPr>
                <w:rStyle w:val="Hyperkobling"/>
                <w:rFonts w:cs="Times New Roman"/>
                <w:noProof/>
                <w:lang w:val="en-GB"/>
              </w:rPr>
              <w:t>Concluding Observations paragraph 15 (Covenant/C/NOR/CO/6) Tightening of the rules related to family immigration</w:t>
            </w:r>
            <w:r w:rsidRPr="00347524">
              <w:rPr>
                <w:noProof/>
                <w:webHidden/>
              </w:rPr>
              <w:tab/>
            </w:r>
            <w:r w:rsidRPr="00347524">
              <w:rPr>
                <w:noProof/>
                <w:webHidden/>
              </w:rPr>
              <w:fldChar w:fldCharType="begin"/>
            </w:r>
            <w:r w:rsidRPr="00347524">
              <w:rPr>
                <w:noProof/>
                <w:webHidden/>
              </w:rPr>
              <w:instrText xml:space="preserve"> PAGEREF _Toc508351739 \h </w:instrText>
            </w:r>
            <w:r w:rsidRPr="00347524">
              <w:rPr>
                <w:noProof/>
                <w:webHidden/>
              </w:rPr>
            </w:r>
            <w:r w:rsidRPr="00347524">
              <w:rPr>
                <w:noProof/>
                <w:webHidden/>
              </w:rPr>
              <w:fldChar w:fldCharType="separate"/>
            </w:r>
            <w:r w:rsidRPr="00347524">
              <w:rPr>
                <w:noProof/>
                <w:webHidden/>
              </w:rPr>
              <w:t>18</w:t>
            </w:r>
            <w:r w:rsidRPr="00347524">
              <w:rPr>
                <w:noProof/>
                <w:webHidden/>
              </w:rPr>
              <w:fldChar w:fldCharType="end"/>
            </w:r>
          </w:hyperlink>
        </w:p>
        <w:p w:rsidR="004364A0" w:rsidRPr="00347524" w:rsidRDefault="004364A0" w:rsidP="00347524">
          <w:pPr>
            <w:spacing w:line="360" w:lineRule="auto"/>
            <w:rPr>
              <w:lang w:val="en-GB"/>
            </w:rPr>
          </w:pPr>
          <w:r w:rsidRPr="00347524">
            <w:rPr>
              <w:bCs/>
              <w:lang w:val="en-GB"/>
            </w:rPr>
            <w:fldChar w:fldCharType="end"/>
          </w:r>
        </w:p>
      </w:sdtContent>
    </w:sdt>
    <w:p w:rsidR="004364A0" w:rsidRPr="00347524" w:rsidRDefault="004364A0" w:rsidP="003C49B8">
      <w:pPr>
        <w:spacing w:line="240" w:lineRule="auto"/>
        <w:rPr>
          <w:rFonts w:cs="Calibri"/>
          <w:bCs/>
          <w:lang w:val="en-GB"/>
        </w:rPr>
      </w:pPr>
    </w:p>
    <w:p w:rsidR="001F5CA4" w:rsidRPr="00347524" w:rsidRDefault="001F5CA4" w:rsidP="003C49B8">
      <w:pPr>
        <w:spacing w:after="200" w:line="240" w:lineRule="auto"/>
        <w:rPr>
          <w:rFonts w:eastAsiaTheme="majorEastAsia" w:cstheme="majorBidi"/>
          <w:b/>
          <w:bCs/>
          <w:lang w:val="en-GB"/>
        </w:rPr>
      </w:pPr>
      <w:r w:rsidRPr="00347524">
        <w:rPr>
          <w:lang w:val="en-GB"/>
        </w:rPr>
        <w:br w:type="page"/>
      </w:r>
    </w:p>
    <w:p w:rsidR="004364A0" w:rsidRPr="000D2BE3" w:rsidRDefault="00D6295B" w:rsidP="003C49B8">
      <w:pPr>
        <w:pStyle w:val="Overskrift1"/>
        <w:spacing w:before="0" w:line="240" w:lineRule="auto"/>
        <w:rPr>
          <w:rFonts w:asciiTheme="minorHAnsi" w:hAnsiTheme="minorHAnsi"/>
          <w:color w:val="1F497D" w:themeColor="text2"/>
          <w:szCs w:val="22"/>
          <w:lang w:val="en-GB"/>
        </w:rPr>
      </w:pPr>
      <w:bookmarkStart w:id="1" w:name="_Toc508351731"/>
      <w:r w:rsidRPr="000D2BE3">
        <w:rPr>
          <w:rFonts w:asciiTheme="minorHAnsi" w:hAnsiTheme="minorHAnsi"/>
          <w:color w:val="1F497D" w:themeColor="text2"/>
          <w:szCs w:val="22"/>
          <w:lang w:val="en-GB"/>
        </w:rPr>
        <w:t>1-2 General information</w:t>
      </w:r>
      <w:bookmarkEnd w:id="1"/>
    </w:p>
    <w:p w:rsidR="005B0DF4" w:rsidRPr="00347524" w:rsidRDefault="005B0DF4" w:rsidP="003C49B8">
      <w:pPr>
        <w:pStyle w:val="Listeavsnitt"/>
        <w:spacing w:line="240" w:lineRule="auto"/>
        <w:ind w:left="0"/>
        <w:rPr>
          <w:rFonts w:cs="Arial"/>
          <w:lang w:val="en-GB"/>
        </w:rPr>
      </w:pPr>
    </w:p>
    <w:p w:rsidR="00013851" w:rsidRPr="00347524" w:rsidRDefault="00013851" w:rsidP="003C49B8">
      <w:pPr>
        <w:pStyle w:val="Listeavsnitt"/>
        <w:spacing w:line="240" w:lineRule="auto"/>
        <w:ind w:left="0"/>
        <w:rPr>
          <w:lang w:val="en-GB"/>
        </w:rPr>
      </w:pPr>
      <w:r w:rsidRPr="00347524">
        <w:rPr>
          <w:rFonts w:cs="Arial"/>
          <w:lang w:val="en-GB"/>
        </w:rPr>
        <w:t>The Norwegian Parliament (</w:t>
      </w:r>
      <w:proofErr w:type="spellStart"/>
      <w:r w:rsidRPr="00347524">
        <w:rPr>
          <w:rFonts w:cs="Arial"/>
          <w:lang w:val="en-GB"/>
        </w:rPr>
        <w:t>Stortinget</w:t>
      </w:r>
      <w:proofErr w:type="spellEnd"/>
      <w:r w:rsidRPr="00347524">
        <w:rPr>
          <w:rFonts w:cs="Arial"/>
          <w:lang w:val="en-GB"/>
        </w:rPr>
        <w:t>) amended the Constitution in May 2014, introducing a chapter on human rights</w:t>
      </w:r>
      <w:r w:rsidR="00A72D59" w:rsidRPr="00347524">
        <w:rPr>
          <w:rFonts w:cs="Arial"/>
          <w:lang w:val="en-GB"/>
        </w:rPr>
        <w:t>. This chapter</w:t>
      </w:r>
      <w:r w:rsidRPr="00347524">
        <w:rPr>
          <w:rFonts w:cs="Arial"/>
          <w:lang w:val="en-GB"/>
        </w:rPr>
        <w:t xml:space="preserve"> </w:t>
      </w:r>
      <w:r w:rsidR="00661FEC" w:rsidRPr="00347524">
        <w:rPr>
          <w:rFonts w:cs="Arial"/>
          <w:lang w:val="en-GB"/>
        </w:rPr>
        <w:t>comprise</w:t>
      </w:r>
      <w:r w:rsidR="00BF419E" w:rsidRPr="00347524">
        <w:rPr>
          <w:rFonts w:cs="Arial"/>
          <w:lang w:val="en-GB"/>
        </w:rPr>
        <w:t>s</w:t>
      </w:r>
      <w:r w:rsidR="00661FEC" w:rsidRPr="00347524">
        <w:rPr>
          <w:rFonts w:cs="Arial"/>
          <w:lang w:val="en-GB"/>
        </w:rPr>
        <w:t xml:space="preserve"> a majority of </w:t>
      </w:r>
      <w:r w:rsidRPr="00347524">
        <w:rPr>
          <w:rFonts w:cs="Arial"/>
          <w:lang w:val="en-GB"/>
        </w:rPr>
        <w:t>the rights</w:t>
      </w:r>
      <w:r w:rsidR="00A72D59" w:rsidRPr="00347524">
        <w:rPr>
          <w:rFonts w:cs="Arial"/>
          <w:lang w:val="en-GB"/>
        </w:rPr>
        <w:t xml:space="preserve"> contained within</w:t>
      </w:r>
      <w:r w:rsidRPr="00347524">
        <w:rPr>
          <w:rFonts w:cs="Arial"/>
          <w:lang w:val="en-GB"/>
        </w:rPr>
        <w:t xml:space="preserve"> the </w:t>
      </w:r>
      <w:r w:rsidR="008C155D" w:rsidRPr="00347524">
        <w:rPr>
          <w:rFonts w:cs="Arial"/>
          <w:lang w:val="en-GB"/>
        </w:rPr>
        <w:t>Covenant</w:t>
      </w:r>
      <w:r w:rsidRPr="00347524">
        <w:rPr>
          <w:rFonts w:cs="Arial"/>
          <w:lang w:val="en-GB"/>
        </w:rPr>
        <w:t>.</w:t>
      </w:r>
      <w:r w:rsidR="00BC59BC" w:rsidRPr="00347524">
        <w:rPr>
          <w:rStyle w:val="Fotnotereferanse"/>
          <w:rFonts w:cs="Arial"/>
          <w:lang w:val="en-GB"/>
        </w:rPr>
        <w:footnoteReference w:id="1"/>
      </w:r>
      <w:r w:rsidR="00BF419E" w:rsidRPr="00347524">
        <w:rPr>
          <w:rFonts w:cs="Arial"/>
          <w:lang w:val="en-GB"/>
        </w:rPr>
        <w:t xml:space="preserve"> </w:t>
      </w:r>
      <w:r w:rsidR="00A72D59" w:rsidRPr="00347524">
        <w:rPr>
          <w:rFonts w:cs="Arial"/>
          <w:lang w:val="en-GB"/>
        </w:rPr>
        <w:t>However</w:t>
      </w:r>
      <w:r w:rsidR="00C7562A" w:rsidRPr="00347524">
        <w:rPr>
          <w:rFonts w:cs="Arial"/>
          <w:lang w:val="en-GB"/>
        </w:rPr>
        <w:t xml:space="preserve">, </w:t>
      </w:r>
      <w:r w:rsidR="00A72D59" w:rsidRPr="00347524">
        <w:rPr>
          <w:rFonts w:cs="Arial"/>
          <w:lang w:val="en-GB"/>
        </w:rPr>
        <w:t>f</w:t>
      </w:r>
      <w:r w:rsidRPr="00347524">
        <w:rPr>
          <w:rFonts w:cs="Arial"/>
          <w:lang w:val="en-GB"/>
        </w:rPr>
        <w:t>reedom of religion or belief</w:t>
      </w:r>
      <w:r w:rsidR="00BF419E" w:rsidRPr="00347524">
        <w:rPr>
          <w:rFonts w:cs="Arial"/>
          <w:lang w:val="en-GB"/>
        </w:rPr>
        <w:t xml:space="preserve"> </w:t>
      </w:r>
      <w:r w:rsidRPr="00347524">
        <w:rPr>
          <w:rFonts w:cs="Arial"/>
          <w:lang w:val="en-GB"/>
        </w:rPr>
        <w:t>is not part of the</w:t>
      </w:r>
      <w:r w:rsidR="00903F2D" w:rsidRPr="00347524">
        <w:rPr>
          <w:rFonts w:cs="Arial"/>
          <w:lang w:val="en-GB"/>
        </w:rPr>
        <w:t xml:space="preserve"> human rights</w:t>
      </w:r>
      <w:r w:rsidRPr="00347524">
        <w:rPr>
          <w:rFonts w:cs="Arial"/>
          <w:lang w:val="en-GB"/>
        </w:rPr>
        <w:t xml:space="preserve"> chapter but</w:t>
      </w:r>
      <w:r w:rsidR="00A72D59" w:rsidRPr="00347524">
        <w:rPr>
          <w:rFonts w:cs="Arial"/>
          <w:lang w:val="en-GB"/>
        </w:rPr>
        <w:t xml:space="preserve"> is contained within</w:t>
      </w:r>
      <w:r w:rsidRPr="00347524">
        <w:rPr>
          <w:rFonts w:cs="Arial"/>
          <w:lang w:val="en-GB"/>
        </w:rPr>
        <w:t xml:space="preserve"> chapter B on</w:t>
      </w:r>
      <w:r w:rsidR="00A72D59" w:rsidRPr="00347524">
        <w:rPr>
          <w:rFonts w:cs="Arial"/>
          <w:lang w:val="en-GB"/>
        </w:rPr>
        <w:t>,</w:t>
      </w:r>
      <w:r w:rsidRPr="00347524">
        <w:rPr>
          <w:rFonts w:cs="Arial"/>
          <w:lang w:val="en-GB"/>
        </w:rPr>
        <w:t xml:space="preserve"> “</w:t>
      </w:r>
      <w:r w:rsidRPr="00347524">
        <w:rPr>
          <w:lang w:val="en-GB"/>
        </w:rPr>
        <w:t>The executive power, the King and the Royal Family and Religion”. According to Article 16,</w:t>
      </w:r>
    </w:p>
    <w:p w:rsidR="00013851" w:rsidRPr="00347524" w:rsidRDefault="00013851" w:rsidP="003C49B8">
      <w:pPr>
        <w:pStyle w:val="Listeavsnitt"/>
        <w:spacing w:line="240" w:lineRule="auto"/>
        <w:ind w:left="708"/>
        <w:rPr>
          <w:lang w:val="en-GB"/>
        </w:rPr>
      </w:pPr>
      <w:r w:rsidRPr="00347524">
        <w:rPr>
          <w:lang w:val="en-GB"/>
        </w:rPr>
        <w:t>All inhabitants of the realm shall have the right to free exercise of their religion. The Church of Norway, an Evangelical-Lutheran church, will remain the Established Church of Norway and will as such be supported by the State. Detailed provisions as to its system will be laid down by law. All religious and belief communities should be supported on equal terms.</w:t>
      </w:r>
      <w:r w:rsidR="00903F2D" w:rsidRPr="00347524">
        <w:rPr>
          <w:rStyle w:val="Fotnotereferanse"/>
          <w:lang w:val="en-GB"/>
        </w:rPr>
        <w:footnoteReference w:id="2"/>
      </w:r>
    </w:p>
    <w:p w:rsidR="00013851" w:rsidRPr="00347524" w:rsidRDefault="00013851" w:rsidP="003C49B8">
      <w:pPr>
        <w:pStyle w:val="Listeavsnitt"/>
        <w:spacing w:line="240" w:lineRule="auto"/>
        <w:ind w:left="708"/>
        <w:rPr>
          <w:rFonts w:cs="Arial"/>
          <w:lang w:val="en-GB"/>
        </w:rPr>
      </w:pPr>
    </w:p>
    <w:p w:rsidR="00013851" w:rsidRPr="00347524" w:rsidRDefault="00013851" w:rsidP="003C49B8">
      <w:pPr>
        <w:pStyle w:val="Listeavsnitt"/>
        <w:spacing w:line="240" w:lineRule="auto"/>
        <w:ind w:left="0"/>
        <w:rPr>
          <w:rFonts w:cs="Arial"/>
          <w:lang w:val="en-GB"/>
        </w:rPr>
      </w:pPr>
      <w:r w:rsidRPr="00347524">
        <w:rPr>
          <w:rFonts w:cs="Arial"/>
          <w:lang w:val="en-GB"/>
        </w:rPr>
        <w:t xml:space="preserve">In our view, the constitutional protection of freedom of religion or belief falls short of </w:t>
      </w:r>
      <w:r w:rsidR="008C155D" w:rsidRPr="00347524">
        <w:rPr>
          <w:rFonts w:cs="Arial"/>
          <w:lang w:val="en-GB"/>
        </w:rPr>
        <w:t>Covenant</w:t>
      </w:r>
      <w:r w:rsidR="00903F2D" w:rsidRPr="00347524">
        <w:rPr>
          <w:rFonts w:cs="Arial"/>
          <w:lang w:val="en-GB"/>
        </w:rPr>
        <w:t xml:space="preserve"> Article 18, which states </w:t>
      </w:r>
      <w:r w:rsidR="006E1D2A" w:rsidRPr="00347524">
        <w:rPr>
          <w:rFonts w:cs="Arial"/>
          <w:lang w:val="en-GB"/>
        </w:rPr>
        <w:t xml:space="preserve">i.a. </w:t>
      </w:r>
      <w:r w:rsidR="00903F2D" w:rsidRPr="00347524">
        <w:rPr>
          <w:rFonts w:cs="Arial"/>
          <w:lang w:val="en-GB"/>
        </w:rPr>
        <w:t>that “t</w:t>
      </w:r>
      <w:r w:rsidR="00903F2D" w:rsidRPr="00347524">
        <w:rPr>
          <w:lang w:val="en-GB"/>
        </w:rPr>
        <w:t xml:space="preserve">his right shall include freedom to have or to adopt a religion or belief of his choice”. Additionally, it creates confusion that freedom of religion or belief is not guaranteed as part of the human rights chapter as </w:t>
      </w:r>
      <w:r w:rsidR="00BC59BC" w:rsidRPr="00347524">
        <w:rPr>
          <w:lang w:val="en-GB"/>
        </w:rPr>
        <w:t>this right</w:t>
      </w:r>
      <w:r w:rsidR="00903F2D" w:rsidRPr="00347524">
        <w:rPr>
          <w:lang w:val="en-GB"/>
        </w:rPr>
        <w:t xml:space="preserve"> is</w:t>
      </w:r>
      <w:r w:rsidR="00BC59BC" w:rsidRPr="00347524">
        <w:rPr>
          <w:lang w:val="en-GB"/>
        </w:rPr>
        <w:t xml:space="preserve"> closely</w:t>
      </w:r>
      <w:r w:rsidR="00903F2D" w:rsidRPr="00347524">
        <w:rPr>
          <w:lang w:val="en-GB"/>
        </w:rPr>
        <w:t xml:space="preserve"> interconnected with other freedom rights.</w:t>
      </w:r>
    </w:p>
    <w:p w:rsidR="00013851" w:rsidRPr="00347524" w:rsidRDefault="00013851" w:rsidP="003C49B8">
      <w:pPr>
        <w:pStyle w:val="Listeavsnitt"/>
        <w:spacing w:line="240" w:lineRule="auto"/>
        <w:ind w:left="0"/>
        <w:rPr>
          <w:rFonts w:cs="Arial"/>
          <w:lang w:val="en-GB"/>
        </w:rPr>
      </w:pPr>
    </w:p>
    <w:p w:rsidR="00903F2D" w:rsidRPr="00347524" w:rsidRDefault="00903F2D" w:rsidP="003C49B8">
      <w:pPr>
        <w:pStyle w:val="Overskrift1"/>
        <w:spacing w:before="0" w:line="240" w:lineRule="auto"/>
        <w:rPr>
          <w:rFonts w:asciiTheme="minorHAnsi" w:hAnsiTheme="minorHAnsi"/>
          <w:color w:val="auto"/>
          <w:sz w:val="22"/>
          <w:szCs w:val="22"/>
          <w:lang w:val="en-GB"/>
        </w:rPr>
      </w:pPr>
    </w:p>
    <w:p w:rsidR="005B0DF4" w:rsidRPr="000D2BE3" w:rsidRDefault="00D6295B" w:rsidP="003C49B8">
      <w:pPr>
        <w:pStyle w:val="Overskrift1"/>
        <w:spacing w:before="0" w:line="240" w:lineRule="auto"/>
        <w:rPr>
          <w:rFonts w:asciiTheme="minorHAnsi" w:hAnsiTheme="minorHAnsi"/>
          <w:color w:val="1F497D" w:themeColor="text2"/>
          <w:szCs w:val="22"/>
          <w:lang w:val="en-GB"/>
        </w:rPr>
      </w:pPr>
      <w:bookmarkStart w:id="2" w:name="_Toc508351732"/>
      <w:r w:rsidRPr="000D2BE3">
        <w:rPr>
          <w:rFonts w:asciiTheme="minorHAnsi" w:hAnsiTheme="minorHAnsi"/>
          <w:color w:val="1F497D" w:themeColor="text2"/>
          <w:szCs w:val="22"/>
          <w:lang w:val="en-GB"/>
        </w:rPr>
        <w:t>3-4 Constitutional and legal framework on the implementation of article 1-27</w:t>
      </w:r>
      <w:bookmarkEnd w:id="2"/>
    </w:p>
    <w:p w:rsidR="00DA34F4" w:rsidRPr="00347524" w:rsidRDefault="00DA34F4" w:rsidP="003C49B8">
      <w:pPr>
        <w:spacing w:after="0" w:line="240" w:lineRule="auto"/>
        <w:rPr>
          <w:lang w:val="en-GB"/>
        </w:rPr>
      </w:pPr>
    </w:p>
    <w:p w:rsidR="00D50AC6" w:rsidRPr="00347524" w:rsidRDefault="00270714" w:rsidP="003C49B8">
      <w:pPr>
        <w:spacing w:line="240" w:lineRule="auto"/>
        <w:rPr>
          <w:lang w:val="en-GB"/>
        </w:rPr>
      </w:pPr>
      <w:r w:rsidRPr="00347524">
        <w:rPr>
          <w:lang w:val="en-GB"/>
        </w:rPr>
        <w:t xml:space="preserve">Concerning Norway’s implementation of </w:t>
      </w:r>
      <w:r w:rsidR="008C155D" w:rsidRPr="00347524">
        <w:rPr>
          <w:lang w:val="en-GB"/>
        </w:rPr>
        <w:t>Covenant</w:t>
      </w:r>
      <w:r w:rsidR="00D50AC6" w:rsidRPr="00347524">
        <w:rPr>
          <w:lang w:val="en-GB"/>
        </w:rPr>
        <w:t xml:space="preserve"> Article 18</w:t>
      </w:r>
      <w:r w:rsidRPr="00347524">
        <w:rPr>
          <w:lang w:val="en-GB"/>
        </w:rPr>
        <w:t xml:space="preserve">, </w:t>
      </w:r>
      <w:r w:rsidR="000E711E" w:rsidRPr="00347524">
        <w:rPr>
          <w:lang w:val="en-GB"/>
        </w:rPr>
        <w:t>we</w:t>
      </w:r>
      <w:r w:rsidRPr="00347524">
        <w:rPr>
          <w:lang w:val="en-GB"/>
        </w:rPr>
        <w:t xml:space="preserve"> </w:t>
      </w:r>
      <w:r w:rsidR="00D50AC6" w:rsidRPr="00347524">
        <w:rPr>
          <w:lang w:val="en-GB"/>
        </w:rPr>
        <w:t>appreciate the amendments that w</w:t>
      </w:r>
      <w:r w:rsidRPr="00347524">
        <w:rPr>
          <w:lang w:val="en-GB"/>
        </w:rPr>
        <w:t>ere</w:t>
      </w:r>
      <w:r w:rsidR="00D50AC6" w:rsidRPr="00347524">
        <w:rPr>
          <w:lang w:val="en-GB"/>
        </w:rPr>
        <w:t xml:space="preserve"> made</w:t>
      </w:r>
      <w:r w:rsidR="006E1D2A" w:rsidRPr="00347524">
        <w:rPr>
          <w:lang w:val="en-GB"/>
        </w:rPr>
        <w:t xml:space="preserve"> </w:t>
      </w:r>
      <w:r w:rsidR="00A72D59" w:rsidRPr="00347524">
        <w:rPr>
          <w:lang w:val="en-GB"/>
        </w:rPr>
        <w:t>to</w:t>
      </w:r>
      <w:r w:rsidR="00D50AC6" w:rsidRPr="00347524">
        <w:rPr>
          <w:lang w:val="en-GB"/>
        </w:rPr>
        <w:t xml:space="preserve"> the Constitution </w:t>
      </w:r>
      <w:r w:rsidRPr="00347524">
        <w:rPr>
          <w:lang w:val="en-GB"/>
        </w:rPr>
        <w:t>on</w:t>
      </w:r>
      <w:r w:rsidR="00D50AC6" w:rsidRPr="00347524">
        <w:rPr>
          <w:lang w:val="en-GB"/>
        </w:rPr>
        <w:t xml:space="preserve"> </w:t>
      </w:r>
      <w:r w:rsidR="00A72D59" w:rsidRPr="00347524">
        <w:rPr>
          <w:lang w:val="en-GB"/>
        </w:rPr>
        <w:t>the 21</w:t>
      </w:r>
      <w:r w:rsidR="00A72D59" w:rsidRPr="00347524">
        <w:rPr>
          <w:vertAlign w:val="superscript"/>
          <w:lang w:val="en-GB"/>
        </w:rPr>
        <w:t>st</w:t>
      </w:r>
      <w:r w:rsidR="00A72D59" w:rsidRPr="00347524">
        <w:rPr>
          <w:lang w:val="en-GB"/>
        </w:rPr>
        <w:t xml:space="preserve"> of May 2012</w:t>
      </w:r>
      <w:r w:rsidR="00D50AC6" w:rsidRPr="00347524">
        <w:rPr>
          <w:lang w:val="en-GB"/>
        </w:rPr>
        <w:t xml:space="preserve"> and </w:t>
      </w:r>
      <w:r w:rsidR="00A72D59" w:rsidRPr="00347524">
        <w:rPr>
          <w:lang w:val="en-GB"/>
        </w:rPr>
        <w:t>the 14</w:t>
      </w:r>
      <w:r w:rsidR="00A72D59" w:rsidRPr="00347524">
        <w:rPr>
          <w:vertAlign w:val="superscript"/>
          <w:lang w:val="en-GB"/>
        </w:rPr>
        <w:t>th</w:t>
      </w:r>
      <w:r w:rsidR="00A72D59" w:rsidRPr="00347524">
        <w:rPr>
          <w:lang w:val="en-GB"/>
        </w:rPr>
        <w:t xml:space="preserve"> of May 2014</w:t>
      </w:r>
      <w:r w:rsidR="00D50AC6" w:rsidRPr="00347524">
        <w:rPr>
          <w:lang w:val="en-GB"/>
        </w:rPr>
        <w:t>.</w:t>
      </w:r>
      <w:r w:rsidRPr="00347524">
        <w:rPr>
          <w:lang w:val="en-GB"/>
        </w:rPr>
        <w:t xml:space="preserve"> </w:t>
      </w:r>
      <w:r w:rsidR="00D50AC6" w:rsidRPr="00347524">
        <w:rPr>
          <w:lang w:val="en-GB"/>
        </w:rPr>
        <w:t>The amendments in 2012 followed as a result of a political compromise on state-church relations, while the amendments in 2014 w</w:t>
      </w:r>
      <w:r w:rsidRPr="00347524">
        <w:rPr>
          <w:lang w:val="en-GB"/>
        </w:rPr>
        <w:t>ere</w:t>
      </w:r>
      <w:r w:rsidR="00D50AC6" w:rsidRPr="00347524">
        <w:rPr>
          <w:lang w:val="en-GB"/>
        </w:rPr>
        <w:t xml:space="preserve"> done </w:t>
      </w:r>
      <w:r w:rsidR="00E73D99" w:rsidRPr="00347524">
        <w:rPr>
          <w:lang w:val="en-GB"/>
        </w:rPr>
        <w:t xml:space="preserve">as part of a substantial </w:t>
      </w:r>
      <w:r w:rsidR="00DE5F76" w:rsidRPr="00347524">
        <w:rPr>
          <w:lang w:val="en-GB"/>
        </w:rPr>
        <w:t>revision, aiming to strengthen</w:t>
      </w:r>
      <w:r w:rsidR="00E73D99" w:rsidRPr="00347524">
        <w:rPr>
          <w:lang w:val="en-GB"/>
        </w:rPr>
        <w:t xml:space="preserve"> human rights in the Constitution </w:t>
      </w:r>
      <w:r w:rsidR="00C7562A" w:rsidRPr="00347524">
        <w:rPr>
          <w:lang w:val="en-GB"/>
        </w:rPr>
        <w:t>on</w:t>
      </w:r>
      <w:r w:rsidR="00D14072" w:rsidRPr="00347524">
        <w:rPr>
          <w:lang w:val="en-GB"/>
        </w:rPr>
        <w:t xml:space="preserve"> its</w:t>
      </w:r>
      <w:r w:rsidR="00D50AC6" w:rsidRPr="00347524">
        <w:rPr>
          <w:lang w:val="en-GB"/>
        </w:rPr>
        <w:t xml:space="preserve"> 200-years anniversary</w:t>
      </w:r>
      <w:r w:rsidR="00E73D99" w:rsidRPr="00347524">
        <w:rPr>
          <w:lang w:val="en-GB"/>
        </w:rPr>
        <w:t>.</w:t>
      </w:r>
    </w:p>
    <w:p w:rsidR="00D50AC6" w:rsidRPr="00347524" w:rsidRDefault="00D50AC6" w:rsidP="003C49B8">
      <w:pPr>
        <w:spacing w:line="240" w:lineRule="auto"/>
        <w:rPr>
          <w:lang w:val="en-GB"/>
        </w:rPr>
      </w:pPr>
      <w:r w:rsidRPr="00347524">
        <w:rPr>
          <w:lang w:val="en-GB"/>
        </w:rPr>
        <w:t>However</w:t>
      </w:r>
      <w:r w:rsidR="00270714" w:rsidRPr="00347524">
        <w:rPr>
          <w:lang w:val="en-GB"/>
        </w:rPr>
        <w:t xml:space="preserve">, even after these </w:t>
      </w:r>
      <w:r w:rsidR="003C08D0" w:rsidRPr="00347524">
        <w:rPr>
          <w:lang w:val="en-GB"/>
        </w:rPr>
        <w:t>amendments a</w:t>
      </w:r>
      <w:r w:rsidR="00DE5F76" w:rsidRPr="00347524">
        <w:rPr>
          <w:lang w:val="en-GB"/>
        </w:rPr>
        <w:t xml:space="preserve"> number of </w:t>
      </w:r>
      <w:r w:rsidR="00E73D99" w:rsidRPr="00347524">
        <w:rPr>
          <w:lang w:val="en-GB"/>
        </w:rPr>
        <w:t>problems</w:t>
      </w:r>
      <w:r w:rsidR="00270714" w:rsidRPr="00347524">
        <w:rPr>
          <w:lang w:val="en-GB"/>
        </w:rPr>
        <w:t xml:space="preserve"> remain</w:t>
      </w:r>
      <w:r w:rsidRPr="00347524">
        <w:rPr>
          <w:lang w:val="en-GB"/>
        </w:rPr>
        <w:t xml:space="preserve"> when it comes to equal treatment of the citizens</w:t>
      </w:r>
      <w:r w:rsidR="00270714" w:rsidRPr="00347524">
        <w:rPr>
          <w:lang w:val="en-GB"/>
        </w:rPr>
        <w:t>’</w:t>
      </w:r>
      <w:r w:rsidRPr="00347524">
        <w:rPr>
          <w:lang w:val="en-GB"/>
        </w:rPr>
        <w:t xml:space="preserve"> religious and life stance affiliation. </w:t>
      </w:r>
      <w:r w:rsidR="007C652B" w:rsidRPr="00347524">
        <w:rPr>
          <w:lang w:val="en-GB"/>
        </w:rPr>
        <w:t>T</w:t>
      </w:r>
      <w:r w:rsidRPr="00347524">
        <w:rPr>
          <w:lang w:val="en-GB"/>
        </w:rPr>
        <w:t xml:space="preserve">he Norwegian Church </w:t>
      </w:r>
      <w:r w:rsidR="00DE5F76" w:rsidRPr="00347524">
        <w:rPr>
          <w:lang w:val="en-GB"/>
        </w:rPr>
        <w:t xml:space="preserve">has </w:t>
      </w:r>
      <w:r w:rsidR="003C08D0" w:rsidRPr="00347524">
        <w:rPr>
          <w:lang w:val="en-GB"/>
        </w:rPr>
        <w:t>still not</w:t>
      </w:r>
      <w:r w:rsidRPr="00347524">
        <w:rPr>
          <w:lang w:val="en-GB"/>
        </w:rPr>
        <w:t xml:space="preserve"> obtained full freedom to rule itself, as it </w:t>
      </w:r>
      <w:r w:rsidR="00E73D99" w:rsidRPr="00347524">
        <w:rPr>
          <w:lang w:val="en-GB"/>
        </w:rPr>
        <w:t>remains</w:t>
      </w:r>
      <w:r w:rsidRPr="00347524">
        <w:rPr>
          <w:lang w:val="en-GB"/>
        </w:rPr>
        <w:t xml:space="preserve"> </w:t>
      </w:r>
      <w:r w:rsidR="00270714" w:rsidRPr="00347524">
        <w:rPr>
          <w:lang w:val="en-GB"/>
        </w:rPr>
        <w:t>regulated by</w:t>
      </w:r>
      <w:r w:rsidRPr="00347524">
        <w:rPr>
          <w:lang w:val="en-GB"/>
        </w:rPr>
        <w:t xml:space="preserve"> a </w:t>
      </w:r>
      <w:r w:rsidR="00E73D99" w:rsidRPr="00347524">
        <w:rPr>
          <w:lang w:val="en-GB"/>
        </w:rPr>
        <w:t xml:space="preserve">specific law </w:t>
      </w:r>
      <w:r w:rsidR="00270714" w:rsidRPr="00347524">
        <w:rPr>
          <w:lang w:val="en-GB"/>
        </w:rPr>
        <w:t xml:space="preserve">adopted </w:t>
      </w:r>
      <w:r w:rsidRPr="00347524">
        <w:rPr>
          <w:lang w:val="en-GB"/>
        </w:rPr>
        <w:t>by the Parliament.</w:t>
      </w:r>
    </w:p>
    <w:p w:rsidR="00D50AC6" w:rsidRPr="00347524" w:rsidRDefault="00DE5F76" w:rsidP="003C49B8">
      <w:pPr>
        <w:spacing w:line="240" w:lineRule="auto"/>
        <w:rPr>
          <w:lang w:val="en-GB"/>
        </w:rPr>
      </w:pPr>
      <w:r w:rsidRPr="00347524">
        <w:rPr>
          <w:lang w:val="en-GB"/>
        </w:rPr>
        <w:t xml:space="preserve">An additional problem is that </w:t>
      </w:r>
      <w:r w:rsidR="00E73D99" w:rsidRPr="00347524">
        <w:rPr>
          <w:lang w:val="en-GB"/>
        </w:rPr>
        <w:t xml:space="preserve">the Constitutional provisions are not </w:t>
      </w:r>
      <w:r w:rsidR="000E711E" w:rsidRPr="00347524">
        <w:rPr>
          <w:lang w:val="en-GB"/>
        </w:rPr>
        <w:t xml:space="preserve">internally </w:t>
      </w:r>
      <w:r w:rsidR="00E73D99" w:rsidRPr="00347524">
        <w:rPr>
          <w:lang w:val="en-GB"/>
        </w:rPr>
        <w:t>consistent, which raises a question on</w:t>
      </w:r>
      <w:r w:rsidR="003C08D0" w:rsidRPr="00347524">
        <w:rPr>
          <w:lang w:val="en-GB"/>
        </w:rPr>
        <w:t xml:space="preserve"> </w:t>
      </w:r>
      <w:r w:rsidR="00E73D99" w:rsidRPr="00347524">
        <w:rPr>
          <w:lang w:val="en-GB"/>
        </w:rPr>
        <w:t xml:space="preserve">which part of a conflicting </w:t>
      </w:r>
      <w:r w:rsidR="007C652B" w:rsidRPr="00347524">
        <w:rPr>
          <w:lang w:val="en-GB"/>
        </w:rPr>
        <w:t>a</w:t>
      </w:r>
      <w:r w:rsidR="00E73D99" w:rsidRPr="00347524">
        <w:rPr>
          <w:lang w:val="en-GB"/>
        </w:rPr>
        <w:t>rticle should prevail</w:t>
      </w:r>
      <w:r w:rsidR="003C08D0" w:rsidRPr="00347524">
        <w:rPr>
          <w:lang w:val="en-GB"/>
        </w:rPr>
        <w:t>.</w:t>
      </w:r>
    </w:p>
    <w:p w:rsidR="00D50AC6" w:rsidRPr="00347524" w:rsidRDefault="00DE5F76" w:rsidP="003C49B8">
      <w:pPr>
        <w:spacing w:line="240" w:lineRule="auto"/>
        <w:rPr>
          <w:lang w:val="en-GB"/>
        </w:rPr>
      </w:pPr>
      <w:proofErr w:type="gramStart"/>
      <w:r w:rsidRPr="00347524">
        <w:rPr>
          <w:b/>
          <w:lang w:val="en-GB"/>
        </w:rPr>
        <w:t>Article 2 of the Norwegian Constitution</w:t>
      </w:r>
      <w:r w:rsidR="007C652B" w:rsidRPr="00347524">
        <w:rPr>
          <w:b/>
          <w:lang w:val="en-GB"/>
        </w:rPr>
        <w:t>.</w:t>
      </w:r>
      <w:proofErr w:type="gramEnd"/>
      <w:r w:rsidR="007C652B" w:rsidRPr="00347524">
        <w:rPr>
          <w:b/>
          <w:lang w:val="en-GB"/>
        </w:rPr>
        <w:t xml:space="preserve"> </w:t>
      </w:r>
      <w:r w:rsidR="000E413B" w:rsidRPr="00347524">
        <w:rPr>
          <w:lang w:val="en-GB"/>
        </w:rPr>
        <w:t>Norway’</w:t>
      </w:r>
      <w:r w:rsidR="00D50AC6" w:rsidRPr="00347524">
        <w:rPr>
          <w:lang w:val="en-GB"/>
        </w:rPr>
        <w:t xml:space="preserve">s </w:t>
      </w:r>
      <w:r w:rsidR="000E413B" w:rsidRPr="00347524">
        <w:rPr>
          <w:lang w:val="en-GB"/>
        </w:rPr>
        <w:t xml:space="preserve">seventh periodic </w:t>
      </w:r>
      <w:r w:rsidR="00D50AC6" w:rsidRPr="00347524">
        <w:rPr>
          <w:lang w:val="en-GB"/>
        </w:rPr>
        <w:t>report</w:t>
      </w:r>
      <w:r w:rsidR="000E413B" w:rsidRPr="00347524">
        <w:rPr>
          <w:lang w:val="en-GB"/>
        </w:rPr>
        <w:t xml:space="preserve"> to the Human Rights Committee</w:t>
      </w:r>
      <w:r w:rsidR="00D50AC6" w:rsidRPr="00347524">
        <w:rPr>
          <w:lang w:val="en-GB"/>
        </w:rPr>
        <w:t xml:space="preserve">, paragraph 8, </w:t>
      </w:r>
      <w:r w:rsidR="000E413B" w:rsidRPr="00347524">
        <w:rPr>
          <w:lang w:val="en-GB"/>
        </w:rPr>
        <w:t>r</w:t>
      </w:r>
      <w:r w:rsidR="00D50AC6" w:rsidRPr="00347524">
        <w:rPr>
          <w:lang w:val="en-GB"/>
        </w:rPr>
        <w:t xml:space="preserve">eplies to the questions in </w:t>
      </w:r>
      <w:r w:rsidR="000E413B" w:rsidRPr="00347524">
        <w:rPr>
          <w:lang w:val="en-GB"/>
        </w:rPr>
        <w:t xml:space="preserve">List of issues </w:t>
      </w:r>
      <w:r w:rsidR="00D50AC6" w:rsidRPr="00347524">
        <w:rPr>
          <w:lang w:val="en-GB"/>
        </w:rPr>
        <w:t>paragraph 2</w:t>
      </w:r>
      <w:r w:rsidR="000E413B" w:rsidRPr="00347524">
        <w:rPr>
          <w:lang w:val="en-GB"/>
        </w:rPr>
        <w:t xml:space="preserve">. </w:t>
      </w:r>
      <w:r w:rsidR="00D50AC6" w:rsidRPr="00347524">
        <w:rPr>
          <w:lang w:val="en-GB"/>
        </w:rPr>
        <w:t xml:space="preserve">As stated in </w:t>
      </w:r>
      <w:r w:rsidR="000E413B" w:rsidRPr="00347524">
        <w:rPr>
          <w:lang w:val="en-GB"/>
        </w:rPr>
        <w:t>Norway’s</w:t>
      </w:r>
      <w:r w:rsidR="00D50AC6" w:rsidRPr="00347524">
        <w:rPr>
          <w:lang w:val="en-GB"/>
        </w:rPr>
        <w:t xml:space="preserve"> report, article 2 of the Norwegian Constitution was amended </w:t>
      </w:r>
      <w:r w:rsidR="000E711E" w:rsidRPr="00347524">
        <w:rPr>
          <w:lang w:val="en-GB"/>
        </w:rPr>
        <w:t xml:space="preserve">on </w:t>
      </w:r>
      <w:r w:rsidRPr="00347524">
        <w:rPr>
          <w:lang w:val="en-GB"/>
        </w:rPr>
        <w:t>the 21</w:t>
      </w:r>
      <w:r w:rsidRPr="00347524">
        <w:rPr>
          <w:vertAlign w:val="superscript"/>
          <w:lang w:val="en-GB"/>
        </w:rPr>
        <w:t>st</w:t>
      </w:r>
      <w:r w:rsidRPr="00347524">
        <w:rPr>
          <w:lang w:val="en-GB"/>
        </w:rPr>
        <w:t xml:space="preserve"> of May 2012</w:t>
      </w:r>
      <w:r w:rsidR="000E711E" w:rsidRPr="00347524">
        <w:rPr>
          <w:lang w:val="en-GB"/>
        </w:rPr>
        <w:t>.</w:t>
      </w:r>
      <w:r w:rsidR="00D50AC6" w:rsidRPr="00347524">
        <w:rPr>
          <w:lang w:val="en-GB"/>
        </w:rPr>
        <w:t xml:space="preserve"> </w:t>
      </w:r>
      <w:r w:rsidR="000E413B" w:rsidRPr="00347524">
        <w:rPr>
          <w:lang w:val="en-GB"/>
        </w:rPr>
        <w:t>However,</w:t>
      </w:r>
      <w:r w:rsidR="00D50AC6" w:rsidRPr="00347524">
        <w:rPr>
          <w:lang w:val="en-GB"/>
        </w:rPr>
        <w:t xml:space="preserve"> </w:t>
      </w:r>
      <w:r w:rsidR="000E413B" w:rsidRPr="00347524">
        <w:rPr>
          <w:lang w:val="en-GB"/>
        </w:rPr>
        <w:t>Norway</w:t>
      </w:r>
      <w:r w:rsidR="000E711E" w:rsidRPr="00347524">
        <w:rPr>
          <w:lang w:val="en-GB"/>
        </w:rPr>
        <w:t>’s report</w:t>
      </w:r>
      <w:r w:rsidR="00D50AC6" w:rsidRPr="00347524">
        <w:rPr>
          <w:lang w:val="en-GB"/>
        </w:rPr>
        <w:t xml:space="preserve"> only </w:t>
      </w:r>
      <w:r w:rsidR="000E413B" w:rsidRPr="00347524">
        <w:rPr>
          <w:lang w:val="en-GB"/>
        </w:rPr>
        <w:t>quotes</w:t>
      </w:r>
      <w:r w:rsidR="00D50AC6" w:rsidRPr="00347524">
        <w:rPr>
          <w:lang w:val="en-GB"/>
        </w:rPr>
        <w:t xml:space="preserve"> the second </w:t>
      </w:r>
      <w:r w:rsidR="000E413B" w:rsidRPr="00347524">
        <w:rPr>
          <w:lang w:val="en-GB"/>
        </w:rPr>
        <w:t>sentence</w:t>
      </w:r>
      <w:r w:rsidR="00D50AC6" w:rsidRPr="00347524">
        <w:rPr>
          <w:lang w:val="en-GB"/>
        </w:rPr>
        <w:t xml:space="preserve"> of the paragraph</w:t>
      </w:r>
      <w:r w:rsidRPr="00347524">
        <w:rPr>
          <w:lang w:val="en-GB"/>
        </w:rPr>
        <w:t>,</w:t>
      </w:r>
      <w:r w:rsidR="00D50AC6" w:rsidRPr="00347524">
        <w:rPr>
          <w:lang w:val="en-GB"/>
        </w:rPr>
        <w:t xml:space="preserve"> “This Constitution shall ensure democracy, a state based on the rule of law and human rights.” This </w:t>
      </w:r>
      <w:r w:rsidR="000E413B" w:rsidRPr="00347524">
        <w:rPr>
          <w:lang w:val="en-GB"/>
        </w:rPr>
        <w:t>formulation</w:t>
      </w:r>
      <w:r w:rsidR="00D50AC6" w:rsidRPr="00347524">
        <w:rPr>
          <w:lang w:val="en-GB"/>
        </w:rPr>
        <w:t xml:space="preserve"> is of course something we agree with.</w:t>
      </w:r>
    </w:p>
    <w:p w:rsidR="00D50AC6" w:rsidRPr="00347524" w:rsidRDefault="00D50AC6" w:rsidP="003C49B8">
      <w:pPr>
        <w:spacing w:line="240" w:lineRule="auto"/>
        <w:rPr>
          <w:lang w:val="en-GB"/>
        </w:rPr>
      </w:pPr>
      <w:r w:rsidRPr="00347524">
        <w:rPr>
          <w:lang w:val="en-GB"/>
        </w:rPr>
        <w:t xml:space="preserve">The problem is the first </w:t>
      </w:r>
      <w:r w:rsidR="000E413B" w:rsidRPr="00347524">
        <w:rPr>
          <w:lang w:val="en-GB"/>
        </w:rPr>
        <w:t>sentence</w:t>
      </w:r>
      <w:r w:rsidRPr="00347524">
        <w:rPr>
          <w:lang w:val="en-GB"/>
        </w:rPr>
        <w:t xml:space="preserve">, which </w:t>
      </w:r>
      <w:r w:rsidR="000E711E" w:rsidRPr="00347524">
        <w:rPr>
          <w:lang w:val="en-GB"/>
        </w:rPr>
        <w:t>reads</w:t>
      </w:r>
      <w:r w:rsidRPr="00347524">
        <w:rPr>
          <w:lang w:val="en-GB"/>
        </w:rPr>
        <w:t>: “Our values will remain our Christian and humanist heritage.”</w:t>
      </w:r>
    </w:p>
    <w:p w:rsidR="00D50AC6" w:rsidRPr="00347524" w:rsidRDefault="00D14072" w:rsidP="003C49B8">
      <w:pPr>
        <w:spacing w:line="240" w:lineRule="auto"/>
        <w:rPr>
          <w:lang w:val="en-GB"/>
        </w:rPr>
      </w:pPr>
      <w:r w:rsidRPr="00347524">
        <w:rPr>
          <w:lang w:val="en-GB"/>
        </w:rPr>
        <w:t>It is sometimes claimed</w:t>
      </w:r>
      <w:r w:rsidR="00D50AC6" w:rsidRPr="00347524">
        <w:rPr>
          <w:lang w:val="en-GB"/>
        </w:rPr>
        <w:t xml:space="preserve"> that</w:t>
      </w:r>
      <w:r w:rsidR="00711270" w:rsidRPr="00347524">
        <w:rPr>
          <w:lang w:val="en-GB"/>
        </w:rPr>
        <w:t xml:space="preserve"> this sentence is merely a </w:t>
      </w:r>
      <w:r w:rsidR="00D50AC6" w:rsidRPr="00347524">
        <w:rPr>
          <w:lang w:val="en-GB"/>
        </w:rPr>
        <w:t xml:space="preserve">symbolic statement, </w:t>
      </w:r>
      <w:r w:rsidR="00711270" w:rsidRPr="00347524">
        <w:rPr>
          <w:lang w:val="en-GB"/>
        </w:rPr>
        <w:t>however</w:t>
      </w:r>
      <w:r w:rsidR="00C7562A" w:rsidRPr="00347524">
        <w:rPr>
          <w:lang w:val="en-GB"/>
        </w:rPr>
        <w:t>, in</w:t>
      </w:r>
      <w:r w:rsidR="000E413B" w:rsidRPr="00347524">
        <w:rPr>
          <w:lang w:val="en-GB"/>
        </w:rPr>
        <w:t xml:space="preserve"> Norwegian political debate </w:t>
      </w:r>
      <w:r w:rsidR="00711270" w:rsidRPr="00347524">
        <w:rPr>
          <w:lang w:val="en-GB"/>
        </w:rPr>
        <w:t xml:space="preserve">this </w:t>
      </w:r>
      <w:r w:rsidR="000E413B" w:rsidRPr="00347524">
        <w:rPr>
          <w:lang w:val="en-GB"/>
        </w:rPr>
        <w:t>sentence</w:t>
      </w:r>
      <w:r w:rsidR="00D50AC6" w:rsidRPr="00347524">
        <w:rPr>
          <w:lang w:val="en-GB"/>
        </w:rPr>
        <w:t xml:space="preserve"> is frequently </w:t>
      </w:r>
      <w:r w:rsidR="000E413B" w:rsidRPr="00347524">
        <w:rPr>
          <w:lang w:val="en-GB"/>
        </w:rPr>
        <w:t>referred to</w:t>
      </w:r>
      <w:r w:rsidR="00D50AC6" w:rsidRPr="00347524">
        <w:rPr>
          <w:lang w:val="en-GB"/>
        </w:rPr>
        <w:t xml:space="preserve">, and even more so in social media – as a </w:t>
      </w:r>
      <w:r w:rsidR="000E413B" w:rsidRPr="00347524">
        <w:rPr>
          <w:lang w:val="en-GB"/>
        </w:rPr>
        <w:t>statement</w:t>
      </w:r>
      <w:r w:rsidR="00D50AC6" w:rsidRPr="00347524">
        <w:rPr>
          <w:lang w:val="en-GB"/>
        </w:rPr>
        <w:t xml:space="preserve"> of what it means to be Norwegian, and as a weapon against “the other”. </w:t>
      </w:r>
      <w:r w:rsidR="00711270" w:rsidRPr="00347524">
        <w:rPr>
          <w:lang w:val="en-GB"/>
        </w:rPr>
        <w:t>Furthermore, Article 2</w:t>
      </w:r>
      <w:r w:rsidR="00D50AC6" w:rsidRPr="00347524">
        <w:rPr>
          <w:lang w:val="en-GB"/>
        </w:rPr>
        <w:t xml:space="preserve"> makes a tight connection between religion and national </w:t>
      </w:r>
      <w:r w:rsidR="000E413B" w:rsidRPr="00347524">
        <w:rPr>
          <w:lang w:val="en-GB"/>
        </w:rPr>
        <w:t>identity and may be felt as</w:t>
      </w:r>
      <w:r w:rsidR="00D50AC6" w:rsidRPr="00347524">
        <w:rPr>
          <w:lang w:val="en-GB"/>
        </w:rPr>
        <w:t xml:space="preserve"> exclu</w:t>
      </w:r>
      <w:r w:rsidR="000E413B" w:rsidRPr="00347524">
        <w:rPr>
          <w:lang w:val="en-GB"/>
        </w:rPr>
        <w:t>sionary</w:t>
      </w:r>
      <w:r w:rsidR="00D50AC6" w:rsidRPr="00347524">
        <w:rPr>
          <w:lang w:val="en-GB"/>
        </w:rPr>
        <w:t xml:space="preserve"> </w:t>
      </w:r>
      <w:r w:rsidR="000E413B" w:rsidRPr="00347524">
        <w:rPr>
          <w:lang w:val="en-GB"/>
        </w:rPr>
        <w:t>by</w:t>
      </w:r>
      <w:r w:rsidR="00D50AC6" w:rsidRPr="00347524">
        <w:rPr>
          <w:lang w:val="en-GB"/>
        </w:rPr>
        <w:t xml:space="preserve"> citizens of other </w:t>
      </w:r>
      <w:r w:rsidR="000E413B" w:rsidRPr="00347524">
        <w:rPr>
          <w:lang w:val="en-GB"/>
        </w:rPr>
        <w:t>religion or belief</w:t>
      </w:r>
      <w:r w:rsidR="00D50AC6" w:rsidRPr="00347524">
        <w:rPr>
          <w:lang w:val="en-GB"/>
        </w:rPr>
        <w:t>.</w:t>
      </w:r>
    </w:p>
    <w:p w:rsidR="00D50AC6" w:rsidRPr="00347524" w:rsidRDefault="00D50AC6" w:rsidP="003C49B8">
      <w:pPr>
        <w:spacing w:line="240" w:lineRule="auto"/>
        <w:rPr>
          <w:lang w:val="en-GB"/>
        </w:rPr>
      </w:pPr>
      <w:r w:rsidRPr="00347524">
        <w:rPr>
          <w:lang w:val="en-GB"/>
        </w:rPr>
        <w:t>Th</w:t>
      </w:r>
      <w:r w:rsidR="00D14072" w:rsidRPr="00347524">
        <w:rPr>
          <w:lang w:val="en-GB"/>
        </w:rPr>
        <w:t>e</w:t>
      </w:r>
      <w:r w:rsidRPr="00347524">
        <w:rPr>
          <w:lang w:val="en-GB"/>
        </w:rPr>
        <w:t xml:space="preserve"> connection </w:t>
      </w:r>
      <w:r w:rsidR="00DA34F4" w:rsidRPr="00347524">
        <w:rPr>
          <w:lang w:val="en-GB"/>
        </w:rPr>
        <w:t>between religion and national identity is also to be found</w:t>
      </w:r>
      <w:r w:rsidRPr="00347524">
        <w:rPr>
          <w:lang w:val="en-GB"/>
        </w:rPr>
        <w:t xml:space="preserve"> in the </w:t>
      </w:r>
      <w:r w:rsidR="00DA34F4" w:rsidRPr="00347524">
        <w:rPr>
          <w:lang w:val="en-GB"/>
        </w:rPr>
        <w:t xml:space="preserve">compulsory education </w:t>
      </w:r>
      <w:r w:rsidRPr="00347524">
        <w:rPr>
          <w:lang w:val="en-GB"/>
        </w:rPr>
        <w:t>purpose clause</w:t>
      </w:r>
      <w:r w:rsidR="00D14072" w:rsidRPr="00347524">
        <w:rPr>
          <w:lang w:val="en-GB"/>
        </w:rPr>
        <w:t>;</w:t>
      </w:r>
      <w:r w:rsidRPr="00347524">
        <w:rPr>
          <w:lang w:val="en-GB"/>
        </w:rPr>
        <w:t xml:space="preserve"> instead of </w:t>
      </w:r>
      <w:r w:rsidR="00DA34F4" w:rsidRPr="00347524">
        <w:rPr>
          <w:lang w:val="en-GB"/>
        </w:rPr>
        <w:t>a</w:t>
      </w:r>
      <w:r w:rsidRPr="00347524">
        <w:rPr>
          <w:lang w:val="en-GB"/>
        </w:rPr>
        <w:t xml:space="preserve"> more open and </w:t>
      </w:r>
      <w:r w:rsidR="00DA34F4" w:rsidRPr="00347524">
        <w:rPr>
          <w:lang w:val="en-GB"/>
        </w:rPr>
        <w:t>inclusive</w:t>
      </w:r>
      <w:r w:rsidRPr="00347524">
        <w:rPr>
          <w:lang w:val="en-GB"/>
        </w:rPr>
        <w:t xml:space="preserve"> wording that was proposed.</w:t>
      </w:r>
    </w:p>
    <w:p w:rsidR="00D50AC6" w:rsidRPr="00347524" w:rsidRDefault="000E413B" w:rsidP="003C49B8">
      <w:pPr>
        <w:spacing w:line="240" w:lineRule="auto"/>
        <w:rPr>
          <w:lang w:val="en-GB"/>
        </w:rPr>
      </w:pPr>
      <w:r w:rsidRPr="00347524">
        <w:rPr>
          <w:lang w:val="en-GB"/>
        </w:rPr>
        <w:t>A</w:t>
      </w:r>
      <w:r w:rsidR="00D50AC6" w:rsidRPr="00347524">
        <w:rPr>
          <w:lang w:val="en-GB"/>
        </w:rPr>
        <w:t xml:space="preserve"> </w:t>
      </w:r>
      <w:r w:rsidR="00D14072" w:rsidRPr="00347524">
        <w:rPr>
          <w:lang w:val="en-GB"/>
        </w:rPr>
        <w:t>G</w:t>
      </w:r>
      <w:r w:rsidR="00D50AC6" w:rsidRPr="00347524">
        <w:rPr>
          <w:lang w:val="en-GB"/>
        </w:rPr>
        <w:t xml:space="preserve">overnment appointed Committee </w:t>
      </w:r>
      <w:r w:rsidRPr="00347524">
        <w:rPr>
          <w:lang w:val="en-GB"/>
        </w:rPr>
        <w:t>tasked</w:t>
      </w:r>
      <w:r w:rsidR="00D50AC6" w:rsidRPr="00347524">
        <w:rPr>
          <w:lang w:val="en-GB"/>
        </w:rPr>
        <w:t xml:space="preserve"> </w:t>
      </w:r>
      <w:r w:rsidR="00FE5E6F" w:rsidRPr="00347524">
        <w:rPr>
          <w:lang w:val="en-GB"/>
        </w:rPr>
        <w:t xml:space="preserve">with </w:t>
      </w:r>
      <w:r w:rsidR="00C7562A" w:rsidRPr="00347524">
        <w:rPr>
          <w:lang w:val="en-GB"/>
        </w:rPr>
        <w:t>providing recommendations</w:t>
      </w:r>
      <w:r w:rsidR="00D50AC6" w:rsidRPr="00347524">
        <w:rPr>
          <w:lang w:val="en-GB"/>
        </w:rPr>
        <w:t xml:space="preserve"> on a more coherent policy on religion and life stances, suggested </w:t>
      </w:r>
      <w:r w:rsidR="00FE5E6F" w:rsidRPr="00347524">
        <w:rPr>
          <w:lang w:val="en-GB"/>
        </w:rPr>
        <w:t xml:space="preserve">that the first sentence of Article 2 should be abolished, </w:t>
      </w:r>
      <w:r w:rsidR="0040216D" w:rsidRPr="00347524">
        <w:rPr>
          <w:lang w:val="en-GB"/>
        </w:rPr>
        <w:t>to</w:t>
      </w:r>
      <w:r w:rsidR="00D50AC6" w:rsidRPr="00347524">
        <w:rPr>
          <w:lang w:val="en-GB"/>
        </w:rPr>
        <w:t xml:space="preserve"> make the purpose clause of the Constitution less </w:t>
      </w:r>
      <w:r w:rsidRPr="00347524">
        <w:rPr>
          <w:lang w:val="en-GB"/>
        </w:rPr>
        <w:t>exclusionary</w:t>
      </w:r>
      <w:r w:rsidR="00FE5E6F" w:rsidRPr="00347524">
        <w:rPr>
          <w:lang w:val="en-GB"/>
        </w:rPr>
        <w:t xml:space="preserve">. They recommended creating </w:t>
      </w:r>
      <w:r w:rsidRPr="00347524">
        <w:rPr>
          <w:lang w:val="en-GB"/>
        </w:rPr>
        <w:t>a</w:t>
      </w:r>
      <w:r w:rsidR="00DA34F4" w:rsidRPr="00347524">
        <w:rPr>
          <w:lang w:val="en-GB"/>
        </w:rPr>
        <w:t xml:space="preserve"> </w:t>
      </w:r>
      <w:r w:rsidRPr="00347524">
        <w:rPr>
          <w:lang w:val="en-GB"/>
        </w:rPr>
        <w:t>formulation that</w:t>
      </w:r>
      <w:r w:rsidR="00D50AC6" w:rsidRPr="00347524">
        <w:rPr>
          <w:lang w:val="en-GB"/>
        </w:rPr>
        <w:t xml:space="preserve"> includ</w:t>
      </w:r>
      <w:r w:rsidRPr="00347524">
        <w:rPr>
          <w:lang w:val="en-GB"/>
        </w:rPr>
        <w:t>es</w:t>
      </w:r>
      <w:r w:rsidR="00D50AC6" w:rsidRPr="00347524">
        <w:rPr>
          <w:lang w:val="en-GB"/>
        </w:rPr>
        <w:t xml:space="preserve"> all citizens regardless of religious affiliation. The Committee also recommended </w:t>
      </w:r>
      <w:r w:rsidR="00FE5E6F" w:rsidRPr="00347524">
        <w:rPr>
          <w:lang w:val="en-GB"/>
        </w:rPr>
        <w:t>the abolishment of</w:t>
      </w:r>
      <w:r w:rsidR="00D50AC6" w:rsidRPr="00347524">
        <w:rPr>
          <w:lang w:val="en-GB"/>
        </w:rPr>
        <w:t xml:space="preserve"> article 4 and</w:t>
      </w:r>
      <w:r w:rsidR="00FE5E6F" w:rsidRPr="00347524">
        <w:rPr>
          <w:lang w:val="en-GB"/>
        </w:rPr>
        <w:t xml:space="preserve"> the</w:t>
      </w:r>
      <w:r w:rsidR="00D50AC6" w:rsidRPr="00347524">
        <w:rPr>
          <w:lang w:val="en-GB"/>
        </w:rPr>
        <w:t xml:space="preserve"> alter</w:t>
      </w:r>
      <w:r w:rsidR="00FE5E6F" w:rsidRPr="00347524">
        <w:rPr>
          <w:lang w:val="en-GB"/>
        </w:rPr>
        <w:t>ation of</w:t>
      </w:r>
      <w:r w:rsidR="00D50AC6" w:rsidRPr="00347524">
        <w:rPr>
          <w:lang w:val="en-GB"/>
        </w:rPr>
        <w:t xml:space="preserve"> article 16 in accordance with the following comments.</w:t>
      </w:r>
      <w:r w:rsidR="00DA34F4" w:rsidRPr="00347524">
        <w:rPr>
          <w:rStyle w:val="Fotnotereferanse"/>
          <w:lang w:val="en-GB"/>
        </w:rPr>
        <w:footnoteReference w:id="3"/>
      </w:r>
    </w:p>
    <w:p w:rsidR="00D50AC6" w:rsidRPr="00347524" w:rsidRDefault="00FE5E6F" w:rsidP="003C49B8">
      <w:pPr>
        <w:spacing w:line="240" w:lineRule="auto"/>
        <w:rPr>
          <w:lang w:val="en-GB"/>
        </w:rPr>
      </w:pPr>
      <w:proofErr w:type="gramStart"/>
      <w:r w:rsidRPr="00347524">
        <w:rPr>
          <w:b/>
          <w:lang w:val="en-GB"/>
        </w:rPr>
        <w:t>Article 4 of the Norwegian Constitution</w:t>
      </w:r>
      <w:r w:rsidR="000E413B" w:rsidRPr="00347524">
        <w:rPr>
          <w:b/>
          <w:lang w:val="en-GB"/>
        </w:rPr>
        <w:t>.</w:t>
      </w:r>
      <w:proofErr w:type="gramEnd"/>
      <w:r w:rsidR="00DA34F4" w:rsidRPr="00347524">
        <w:rPr>
          <w:b/>
          <w:lang w:val="en-GB"/>
        </w:rPr>
        <w:t xml:space="preserve"> </w:t>
      </w:r>
      <w:r w:rsidR="00DA34F4" w:rsidRPr="00347524">
        <w:rPr>
          <w:lang w:val="en-GB"/>
        </w:rPr>
        <w:t>Norway’s report</w:t>
      </w:r>
      <w:r w:rsidR="00D50AC6" w:rsidRPr="00347524">
        <w:rPr>
          <w:lang w:val="en-GB"/>
        </w:rPr>
        <w:t xml:space="preserve"> does not comment on </w:t>
      </w:r>
      <w:r w:rsidR="00D14072" w:rsidRPr="00347524">
        <w:rPr>
          <w:lang w:val="en-GB"/>
        </w:rPr>
        <w:t xml:space="preserve">this </w:t>
      </w:r>
      <w:r w:rsidR="00D50AC6" w:rsidRPr="00347524">
        <w:rPr>
          <w:lang w:val="en-GB"/>
        </w:rPr>
        <w:t xml:space="preserve">article, although it </w:t>
      </w:r>
      <w:r w:rsidR="00D14072" w:rsidRPr="00347524">
        <w:rPr>
          <w:lang w:val="en-GB"/>
        </w:rPr>
        <w:t xml:space="preserve">is </w:t>
      </w:r>
      <w:r w:rsidR="00D50AC6" w:rsidRPr="00347524">
        <w:rPr>
          <w:lang w:val="en-GB"/>
        </w:rPr>
        <w:t>problematic from a human rights perspective, as well as the symbolic function it carries.</w:t>
      </w:r>
    </w:p>
    <w:p w:rsidR="00D50AC6" w:rsidRPr="00347524" w:rsidRDefault="00D50AC6" w:rsidP="003C49B8">
      <w:pPr>
        <w:spacing w:line="240" w:lineRule="auto"/>
        <w:rPr>
          <w:lang w:val="en-GB"/>
        </w:rPr>
      </w:pPr>
      <w:r w:rsidRPr="00347524">
        <w:rPr>
          <w:lang w:val="en-GB"/>
        </w:rPr>
        <w:t xml:space="preserve">Article </w:t>
      </w:r>
      <w:r w:rsidR="00DA34F4" w:rsidRPr="00347524">
        <w:rPr>
          <w:lang w:val="en-GB"/>
        </w:rPr>
        <w:t>4</w:t>
      </w:r>
      <w:r w:rsidRPr="00347524">
        <w:rPr>
          <w:lang w:val="en-GB"/>
        </w:rPr>
        <w:t xml:space="preserve"> states: “The King shall </w:t>
      </w:r>
      <w:r w:rsidR="00DA34F4" w:rsidRPr="00347524">
        <w:rPr>
          <w:lang w:val="en-GB"/>
        </w:rPr>
        <w:t>at</w:t>
      </w:r>
      <w:r w:rsidRPr="00347524">
        <w:rPr>
          <w:lang w:val="en-GB"/>
        </w:rPr>
        <w:t xml:space="preserve"> all times profess the Evangelical-Lutheran religion.”</w:t>
      </w:r>
    </w:p>
    <w:p w:rsidR="00D50AC6" w:rsidRPr="00347524" w:rsidRDefault="00D50AC6" w:rsidP="003C49B8">
      <w:pPr>
        <w:spacing w:line="240" w:lineRule="auto"/>
        <w:rPr>
          <w:lang w:val="en-GB"/>
        </w:rPr>
      </w:pPr>
      <w:r w:rsidRPr="00347524">
        <w:rPr>
          <w:lang w:val="en-GB"/>
        </w:rPr>
        <w:t xml:space="preserve">This means that the position as a monarch in the realm is reserved for persons of a </w:t>
      </w:r>
      <w:r w:rsidR="00DA34F4" w:rsidRPr="00347524">
        <w:rPr>
          <w:lang w:val="en-GB"/>
        </w:rPr>
        <w:t>specific denomination</w:t>
      </w:r>
      <w:r w:rsidRPr="00347524">
        <w:rPr>
          <w:lang w:val="en-GB"/>
        </w:rPr>
        <w:t xml:space="preserve">, and on the other hand, that the sovereign </w:t>
      </w:r>
      <w:r w:rsidR="00DA34F4" w:rsidRPr="00347524">
        <w:rPr>
          <w:lang w:val="en-GB"/>
        </w:rPr>
        <w:t>does not</w:t>
      </w:r>
      <w:r w:rsidRPr="00347524">
        <w:rPr>
          <w:lang w:val="en-GB"/>
        </w:rPr>
        <w:t xml:space="preserve"> enjoy </w:t>
      </w:r>
      <w:r w:rsidR="00DA34F4" w:rsidRPr="00347524">
        <w:rPr>
          <w:lang w:val="en-GB"/>
        </w:rPr>
        <w:t>freedom of religion or belief on the same footing</w:t>
      </w:r>
      <w:r w:rsidRPr="00347524">
        <w:rPr>
          <w:lang w:val="en-GB"/>
        </w:rPr>
        <w:t xml:space="preserve"> as the inhabitants of the country he or she rules.</w:t>
      </w:r>
    </w:p>
    <w:p w:rsidR="00D50AC6" w:rsidRPr="00347524" w:rsidRDefault="003171F9" w:rsidP="003C49B8">
      <w:pPr>
        <w:spacing w:line="240" w:lineRule="auto"/>
        <w:rPr>
          <w:lang w:val="en-GB"/>
        </w:rPr>
      </w:pPr>
      <w:proofErr w:type="gramStart"/>
      <w:r w:rsidRPr="00347524">
        <w:rPr>
          <w:b/>
          <w:lang w:val="en-GB"/>
        </w:rPr>
        <w:t>Article 16 of the Norwegian Constitution</w:t>
      </w:r>
      <w:r w:rsidR="00DA34F4" w:rsidRPr="00347524">
        <w:rPr>
          <w:lang w:val="en-GB"/>
        </w:rPr>
        <w:t>.</w:t>
      </w:r>
      <w:proofErr w:type="gramEnd"/>
      <w:r w:rsidR="00DA34F4" w:rsidRPr="00347524">
        <w:rPr>
          <w:lang w:val="en-GB"/>
        </w:rPr>
        <w:t xml:space="preserve"> </w:t>
      </w:r>
      <w:r w:rsidR="00D50AC6" w:rsidRPr="00347524">
        <w:rPr>
          <w:lang w:val="en-GB"/>
        </w:rPr>
        <w:t xml:space="preserve">It is a fair </w:t>
      </w:r>
      <w:r w:rsidR="002F0A6D" w:rsidRPr="00347524">
        <w:rPr>
          <w:lang w:val="en-GB"/>
        </w:rPr>
        <w:t>conclusion</w:t>
      </w:r>
      <w:r w:rsidR="00D50AC6" w:rsidRPr="00347524">
        <w:rPr>
          <w:lang w:val="en-GB"/>
        </w:rPr>
        <w:t xml:space="preserve"> that the </w:t>
      </w:r>
      <w:r w:rsidR="0061769C" w:rsidRPr="00347524">
        <w:rPr>
          <w:lang w:val="en-GB"/>
        </w:rPr>
        <w:t>amended article (see quotation above)</w:t>
      </w:r>
      <w:r w:rsidR="00D50AC6" w:rsidRPr="00347524">
        <w:rPr>
          <w:lang w:val="en-GB"/>
        </w:rPr>
        <w:t xml:space="preserve"> has made the Church of Norway more independent of the state</w:t>
      </w:r>
      <w:r w:rsidR="0061769C" w:rsidRPr="00347524">
        <w:rPr>
          <w:lang w:val="en-GB"/>
        </w:rPr>
        <w:t xml:space="preserve"> than previously</w:t>
      </w:r>
      <w:r w:rsidR="00D50AC6" w:rsidRPr="00347524">
        <w:rPr>
          <w:lang w:val="en-GB"/>
        </w:rPr>
        <w:t xml:space="preserve">. </w:t>
      </w:r>
      <w:r w:rsidR="0061769C" w:rsidRPr="00347524">
        <w:rPr>
          <w:lang w:val="en-GB"/>
        </w:rPr>
        <w:t>T</w:t>
      </w:r>
      <w:r w:rsidR="00D50AC6" w:rsidRPr="00347524">
        <w:rPr>
          <w:lang w:val="en-GB"/>
        </w:rPr>
        <w:t xml:space="preserve">he </w:t>
      </w:r>
      <w:r w:rsidR="0061769C" w:rsidRPr="00347524">
        <w:rPr>
          <w:lang w:val="en-GB"/>
        </w:rPr>
        <w:t>C</w:t>
      </w:r>
      <w:r w:rsidR="00D50AC6" w:rsidRPr="00347524">
        <w:rPr>
          <w:lang w:val="en-GB"/>
        </w:rPr>
        <w:t xml:space="preserve">hurch </w:t>
      </w:r>
      <w:r w:rsidR="0061769C" w:rsidRPr="00347524">
        <w:rPr>
          <w:lang w:val="en-GB"/>
        </w:rPr>
        <w:t>of Norway can</w:t>
      </w:r>
      <w:r w:rsidR="00D50AC6" w:rsidRPr="00347524">
        <w:rPr>
          <w:lang w:val="en-GB"/>
        </w:rPr>
        <w:t xml:space="preserve"> </w:t>
      </w:r>
      <w:r w:rsidR="0061769C" w:rsidRPr="00347524">
        <w:rPr>
          <w:lang w:val="en-GB"/>
        </w:rPr>
        <w:t xml:space="preserve">now </w:t>
      </w:r>
      <w:r w:rsidR="00D50AC6" w:rsidRPr="00347524">
        <w:rPr>
          <w:lang w:val="en-GB"/>
        </w:rPr>
        <w:t xml:space="preserve">elect </w:t>
      </w:r>
      <w:r w:rsidR="0061769C" w:rsidRPr="00347524">
        <w:rPr>
          <w:lang w:val="en-GB"/>
        </w:rPr>
        <w:t>its</w:t>
      </w:r>
      <w:r w:rsidR="00D50AC6" w:rsidRPr="00347524">
        <w:rPr>
          <w:lang w:val="en-GB"/>
        </w:rPr>
        <w:t xml:space="preserve"> own bishops and it has obtained </w:t>
      </w:r>
      <w:r w:rsidR="0061769C" w:rsidRPr="00347524">
        <w:rPr>
          <w:lang w:val="en-GB"/>
        </w:rPr>
        <w:t>a</w:t>
      </w:r>
      <w:r w:rsidR="00D50AC6" w:rsidRPr="00347524">
        <w:rPr>
          <w:lang w:val="en-GB"/>
        </w:rPr>
        <w:t xml:space="preserve"> status </w:t>
      </w:r>
      <w:r w:rsidR="0061769C" w:rsidRPr="00347524">
        <w:rPr>
          <w:lang w:val="en-GB"/>
        </w:rPr>
        <w:t>as</w:t>
      </w:r>
      <w:r w:rsidR="00D50AC6" w:rsidRPr="00347524">
        <w:rPr>
          <w:lang w:val="en-GB"/>
        </w:rPr>
        <w:t xml:space="preserve"> an independent legal entity. But </w:t>
      </w:r>
      <w:r w:rsidR="00D14072" w:rsidRPr="00347524">
        <w:rPr>
          <w:lang w:val="en-GB"/>
        </w:rPr>
        <w:t xml:space="preserve">full </w:t>
      </w:r>
      <w:r w:rsidR="00D50AC6" w:rsidRPr="00347524">
        <w:rPr>
          <w:lang w:val="en-GB"/>
        </w:rPr>
        <w:t>separation</w:t>
      </w:r>
      <w:r w:rsidR="0061769C" w:rsidRPr="00347524">
        <w:rPr>
          <w:lang w:val="en-GB"/>
        </w:rPr>
        <w:t xml:space="preserve"> of state and Church is</w:t>
      </w:r>
      <w:r w:rsidR="00D50AC6" w:rsidRPr="00347524">
        <w:rPr>
          <w:lang w:val="en-GB"/>
        </w:rPr>
        <w:t xml:space="preserve"> </w:t>
      </w:r>
      <w:r w:rsidRPr="00347524">
        <w:rPr>
          <w:lang w:val="en-GB"/>
        </w:rPr>
        <w:t>not yet</w:t>
      </w:r>
      <w:r w:rsidR="0061769C" w:rsidRPr="00347524">
        <w:rPr>
          <w:lang w:val="en-GB"/>
        </w:rPr>
        <w:t xml:space="preserve"> fulfilled</w:t>
      </w:r>
      <w:r w:rsidR="00D50AC6" w:rsidRPr="00347524">
        <w:rPr>
          <w:lang w:val="en-GB"/>
        </w:rPr>
        <w:t>.</w:t>
      </w:r>
    </w:p>
    <w:p w:rsidR="00D50AC6" w:rsidRPr="00347524" w:rsidRDefault="00D50AC6" w:rsidP="003C49B8">
      <w:pPr>
        <w:spacing w:line="240" w:lineRule="auto"/>
        <w:rPr>
          <w:lang w:val="en-GB"/>
        </w:rPr>
      </w:pPr>
      <w:r w:rsidRPr="00347524">
        <w:rPr>
          <w:lang w:val="en-GB"/>
        </w:rPr>
        <w:t xml:space="preserve">As stated in the first and last </w:t>
      </w:r>
      <w:r w:rsidR="0061769C" w:rsidRPr="00347524">
        <w:rPr>
          <w:lang w:val="en-GB"/>
        </w:rPr>
        <w:t>sentence</w:t>
      </w:r>
      <w:r w:rsidRPr="00347524">
        <w:rPr>
          <w:lang w:val="en-GB"/>
        </w:rPr>
        <w:t xml:space="preserve"> of article</w:t>
      </w:r>
      <w:r w:rsidR="0061769C" w:rsidRPr="00347524">
        <w:rPr>
          <w:lang w:val="en-GB"/>
        </w:rPr>
        <w:t xml:space="preserve"> 16</w:t>
      </w:r>
      <w:r w:rsidRPr="00347524">
        <w:rPr>
          <w:lang w:val="en-GB"/>
        </w:rPr>
        <w:t xml:space="preserve">, the Constitution proclaims equality for all citizens and </w:t>
      </w:r>
      <w:r w:rsidR="00D14072" w:rsidRPr="00347524">
        <w:rPr>
          <w:lang w:val="en-GB"/>
        </w:rPr>
        <w:t>belief</w:t>
      </w:r>
      <w:r w:rsidRPr="00347524">
        <w:rPr>
          <w:lang w:val="en-GB"/>
        </w:rPr>
        <w:t xml:space="preserve"> communities. </w:t>
      </w:r>
      <w:r w:rsidR="0061769C" w:rsidRPr="00347524">
        <w:rPr>
          <w:lang w:val="en-GB"/>
        </w:rPr>
        <w:t>However,</w:t>
      </w:r>
      <w:r w:rsidRPr="00347524">
        <w:rPr>
          <w:lang w:val="en-GB"/>
        </w:rPr>
        <w:t xml:space="preserve"> the </w:t>
      </w:r>
      <w:r w:rsidR="0061769C" w:rsidRPr="00347524">
        <w:rPr>
          <w:lang w:val="en-GB"/>
        </w:rPr>
        <w:t>second and third</w:t>
      </w:r>
      <w:r w:rsidRPr="00347524">
        <w:rPr>
          <w:lang w:val="en-GB"/>
        </w:rPr>
        <w:t xml:space="preserve"> </w:t>
      </w:r>
      <w:r w:rsidR="0061769C" w:rsidRPr="00347524">
        <w:rPr>
          <w:lang w:val="en-GB"/>
        </w:rPr>
        <w:t>sentences</w:t>
      </w:r>
      <w:r w:rsidRPr="00347524">
        <w:rPr>
          <w:lang w:val="en-GB"/>
        </w:rPr>
        <w:t xml:space="preserve"> of the article gives a privileged position to the Church of Norway, as a</w:t>
      </w:r>
      <w:r w:rsidR="0061769C" w:rsidRPr="00347524">
        <w:rPr>
          <w:lang w:val="en-GB"/>
        </w:rPr>
        <w:t>n</w:t>
      </w:r>
      <w:r w:rsidRPr="00347524">
        <w:rPr>
          <w:lang w:val="en-GB"/>
        </w:rPr>
        <w:t xml:space="preserve"> </w:t>
      </w:r>
      <w:r w:rsidR="0061769C" w:rsidRPr="00347524">
        <w:rPr>
          <w:lang w:val="en-GB"/>
        </w:rPr>
        <w:t>established</w:t>
      </w:r>
      <w:r w:rsidRPr="00347524">
        <w:rPr>
          <w:lang w:val="en-GB"/>
        </w:rPr>
        <w:t xml:space="preserve"> “folk</w:t>
      </w:r>
      <w:r w:rsidR="0061769C" w:rsidRPr="00347524">
        <w:rPr>
          <w:lang w:val="en-GB"/>
        </w:rPr>
        <w:t xml:space="preserve"> </w:t>
      </w:r>
      <w:r w:rsidRPr="00347524">
        <w:rPr>
          <w:lang w:val="en-GB"/>
        </w:rPr>
        <w:t>church”</w:t>
      </w:r>
      <w:r w:rsidR="00D14072" w:rsidRPr="00347524">
        <w:rPr>
          <w:lang w:val="en-GB"/>
        </w:rPr>
        <w:t>,</w:t>
      </w:r>
      <w:r w:rsidRPr="00347524">
        <w:rPr>
          <w:lang w:val="en-GB"/>
        </w:rPr>
        <w:t xml:space="preserve"> and gives the Parliament the power to decide</w:t>
      </w:r>
      <w:r w:rsidR="005C7EDC" w:rsidRPr="00347524">
        <w:rPr>
          <w:lang w:val="en-GB"/>
        </w:rPr>
        <w:t>,</w:t>
      </w:r>
      <w:r w:rsidRPr="00347524">
        <w:rPr>
          <w:lang w:val="en-GB"/>
        </w:rPr>
        <w:t xml:space="preserve"> by law</w:t>
      </w:r>
      <w:r w:rsidR="005C7EDC" w:rsidRPr="00347524">
        <w:rPr>
          <w:lang w:val="en-GB"/>
        </w:rPr>
        <w:t>,</w:t>
      </w:r>
      <w:r w:rsidRPr="00347524">
        <w:rPr>
          <w:lang w:val="en-GB"/>
        </w:rPr>
        <w:t xml:space="preserve"> how the church</w:t>
      </w:r>
      <w:r w:rsidR="0061769C" w:rsidRPr="00347524">
        <w:rPr>
          <w:lang w:val="en-GB"/>
        </w:rPr>
        <w:t xml:space="preserve"> should be organized</w:t>
      </w:r>
      <w:r w:rsidRPr="00347524">
        <w:rPr>
          <w:lang w:val="en-GB"/>
        </w:rPr>
        <w:t xml:space="preserve">. This challenges the freedom of the church as well as the principle of equality. </w:t>
      </w:r>
    </w:p>
    <w:p w:rsidR="00D50AC6" w:rsidRPr="00347524" w:rsidRDefault="00D50AC6" w:rsidP="003C49B8">
      <w:pPr>
        <w:spacing w:line="240" w:lineRule="auto"/>
        <w:rPr>
          <w:lang w:val="en-GB"/>
        </w:rPr>
      </w:pPr>
      <w:r w:rsidRPr="00347524">
        <w:rPr>
          <w:lang w:val="en-GB"/>
        </w:rPr>
        <w:t>I</w:t>
      </w:r>
      <w:r w:rsidR="0061769C" w:rsidRPr="00347524">
        <w:rPr>
          <w:lang w:val="en-GB"/>
        </w:rPr>
        <w:t xml:space="preserve">n our view it is </w:t>
      </w:r>
      <w:r w:rsidRPr="00347524">
        <w:rPr>
          <w:lang w:val="en-GB"/>
        </w:rPr>
        <w:t>contradictory that</w:t>
      </w:r>
      <w:r w:rsidR="00BC0B07" w:rsidRPr="00347524">
        <w:rPr>
          <w:lang w:val="en-GB"/>
        </w:rPr>
        <w:t>,</w:t>
      </w:r>
      <w:r w:rsidRPr="00347524">
        <w:rPr>
          <w:lang w:val="en-GB"/>
        </w:rPr>
        <w:t xml:space="preserve"> as the process of separating </w:t>
      </w:r>
      <w:r w:rsidR="005C7EDC" w:rsidRPr="00347524">
        <w:rPr>
          <w:lang w:val="en-GB"/>
        </w:rPr>
        <w:t xml:space="preserve">the </w:t>
      </w:r>
      <w:r w:rsidRPr="00347524">
        <w:rPr>
          <w:lang w:val="en-GB"/>
        </w:rPr>
        <w:t>state and church is moving forward, the Church</w:t>
      </w:r>
      <w:r w:rsidR="0061769C" w:rsidRPr="00347524">
        <w:rPr>
          <w:lang w:val="en-GB"/>
        </w:rPr>
        <w:t xml:space="preserve"> of Norway</w:t>
      </w:r>
      <w:r w:rsidR="005C7EDC" w:rsidRPr="00347524">
        <w:rPr>
          <w:lang w:val="en-GB"/>
        </w:rPr>
        <w:t>,</w:t>
      </w:r>
      <w:r w:rsidRPr="00347524">
        <w:rPr>
          <w:lang w:val="en-GB"/>
        </w:rPr>
        <w:t xml:space="preserve"> for the first time</w:t>
      </w:r>
      <w:r w:rsidR="005C7EDC" w:rsidRPr="00347524">
        <w:rPr>
          <w:lang w:val="en-GB"/>
        </w:rPr>
        <w:t>,</w:t>
      </w:r>
      <w:r w:rsidRPr="00347524">
        <w:rPr>
          <w:lang w:val="en-GB"/>
        </w:rPr>
        <w:t xml:space="preserve"> is given a prominent place </w:t>
      </w:r>
      <w:r w:rsidR="005C7EDC" w:rsidRPr="00347524">
        <w:rPr>
          <w:lang w:val="en-GB"/>
        </w:rPr>
        <w:t xml:space="preserve">within </w:t>
      </w:r>
      <w:r w:rsidRPr="00347524">
        <w:rPr>
          <w:lang w:val="en-GB"/>
        </w:rPr>
        <w:t>the article</w:t>
      </w:r>
      <w:r w:rsidR="0061769C" w:rsidRPr="00347524">
        <w:rPr>
          <w:lang w:val="en-GB"/>
        </w:rPr>
        <w:t xml:space="preserve"> of the Constitution</w:t>
      </w:r>
      <w:r w:rsidRPr="00347524">
        <w:rPr>
          <w:lang w:val="en-GB"/>
        </w:rPr>
        <w:t xml:space="preserve"> that </w:t>
      </w:r>
      <w:r w:rsidR="0061769C" w:rsidRPr="00347524">
        <w:rPr>
          <w:lang w:val="en-GB"/>
        </w:rPr>
        <w:t>guarantees freedom of religion or belief</w:t>
      </w:r>
      <w:r w:rsidRPr="00347524">
        <w:rPr>
          <w:lang w:val="en-GB"/>
        </w:rPr>
        <w:t>.</w:t>
      </w:r>
    </w:p>
    <w:p w:rsidR="00D50AC6" w:rsidRPr="00347524" w:rsidRDefault="00D50AC6" w:rsidP="003C49B8">
      <w:pPr>
        <w:spacing w:line="240" w:lineRule="auto"/>
        <w:rPr>
          <w:lang w:val="en-GB"/>
        </w:rPr>
      </w:pPr>
      <w:r w:rsidRPr="00347524">
        <w:rPr>
          <w:lang w:val="en-GB"/>
        </w:rPr>
        <w:t xml:space="preserve">The article </w:t>
      </w:r>
      <w:r w:rsidR="0061769C" w:rsidRPr="00347524">
        <w:rPr>
          <w:lang w:val="en-GB"/>
        </w:rPr>
        <w:t>represents a</w:t>
      </w:r>
      <w:r w:rsidRPr="00347524">
        <w:rPr>
          <w:lang w:val="en-GB"/>
        </w:rPr>
        <w:t xml:space="preserve"> contradiction</w:t>
      </w:r>
      <w:r w:rsidR="0061769C" w:rsidRPr="00347524">
        <w:rPr>
          <w:lang w:val="en-GB"/>
        </w:rPr>
        <w:t>, as</w:t>
      </w:r>
      <w:r w:rsidRPr="00347524">
        <w:rPr>
          <w:lang w:val="en-GB"/>
        </w:rPr>
        <w:t xml:space="preserve"> it</w:t>
      </w:r>
      <w:r w:rsidR="0061769C" w:rsidRPr="00347524">
        <w:rPr>
          <w:lang w:val="en-GB"/>
        </w:rPr>
        <w:t xml:space="preserve"> points</w:t>
      </w:r>
      <w:r w:rsidR="00A34345" w:rsidRPr="00347524">
        <w:rPr>
          <w:lang w:val="en-GB"/>
        </w:rPr>
        <w:t xml:space="preserve"> at the same time</w:t>
      </w:r>
      <w:r w:rsidR="0061769C" w:rsidRPr="00347524">
        <w:rPr>
          <w:lang w:val="en-GB"/>
        </w:rPr>
        <w:t xml:space="preserve"> to</w:t>
      </w:r>
      <w:r w:rsidRPr="00347524">
        <w:rPr>
          <w:lang w:val="en-GB"/>
        </w:rPr>
        <w:t xml:space="preserve"> a privileged </w:t>
      </w:r>
      <w:r w:rsidR="0061769C" w:rsidRPr="00347524">
        <w:rPr>
          <w:lang w:val="en-GB"/>
        </w:rPr>
        <w:t xml:space="preserve">and regulated </w:t>
      </w:r>
      <w:r w:rsidR="008C155D" w:rsidRPr="00347524">
        <w:rPr>
          <w:lang w:val="en-GB"/>
        </w:rPr>
        <w:t>C</w:t>
      </w:r>
      <w:r w:rsidRPr="00347524">
        <w:rPr>
          <w:lang w:val="en-GB"/>
        </w:rPr>
        <w:t xml:space="preserve">hurch </w:t>
      </w:r>
      <w:r w:rsidR="008C155D" w:rsidRPr="00347524">
        <w:rPr>
          <w:lang w:val="en-GB"/>
        </w:rPr>
        <w:t xml:space="preserve">of Norway </w:t>
      </w:r>
      <w:r w:rsidR="0061769C" w:rsidRPr="00347524">
        <w:rPr>
          <w:lang w:val="en-GB"/>
        </w:rPr>
        <w:t>as well as</w:t>
      </w:r>
      <w:r w:rsidRPr="00347524">
        <w:rPr>
          <w:lang w:val="en-GB"/>
        </w:rPr>
        <w:t xml:space="preserve"> </w:t>
      </w:r>
      <w:r w:rsidR="0061769C" w:rsidRPr="00347524">
        <w:rPr>
          <w:lang w:val="en-GB"/>
        </w:rPr>
        <w:t xml:space="preserve">to the </w:t>
      </w:r>
      <w:r w:rsidRPr="00347524">
        <w:rPr>
          <w:lang w:val="en-GB"/>
        </w:rPr>
        <w:t xml:space="preserve">equal position </w:t>
      </w:r>
      <w:r w:rsidR="0061769C" w:rsidRPr="00347524">
        <w:rPr>
          <w:lang w:val="en-GB"/>
        </w:rPr>
        <w:t>of all religious and belief communities</w:t>
      </w:r>
      <w:r w:rsidRPr="00347524">
        <w:rPr>
          <w:lang w:val="en-GB"/>
        </w:rPr>
        <w:t>.</w:t>
      </w:r>
    </w:p>
    <w:p w:rsidR="00D50AC6" w:rsidRPr="00347524" w:rsidRDefault="00D50AC6" w:rsidP="003C49B8">
      <w:pPr>
        <w:spacing w:line="240" w:lineRule="auto"/>
        <w:rPr>
          <w:lang w:val="en-GB"/>
        </w:rPr>
      </w:pPr>
      <w:r w:rsidRPr="00347524">
        <w:rPr>
          <w:lang w:val="en-GB"/>
        </w:rPr>
        <w:t>Th</w:t>
      </w:r>
      <w:r w:rsidR="00A34345" w:rsidRPr="00347524">
        <w:rPr>
          <w:lang w:val="en-GB"/>
        </w:rPr>
        <w:t xml:space="preserve">e issue is not only of contradictory </w:t>
      </w:r>
      <w:r w:rsidR="008C155D" w:rsidRPr="00347524">
        <w:rPr>
          <w:lang w:val="en-GB"/>
        </w:rPr>
        <w:t xml:space="preserve">constitutional </w:t>
      </w:r>
      <w:r w:rsidR="00A34345" w:rsidRPr="00347524">
        <w:rPr>
          <w:lang w:val="en-GB"/>
        </w:rPr>
        <w:t xml:space="preserve">language, but also about discriminatory practice. </w:t>
      </w:r>
      <w:r w:rsidRPr="00347524">
        <w:rPr>
          <w:lang w:val="en-GB"/>
        </w:rPr>
        <w:t>For instance</w:t>
      </w:r>
      <w:r w:rsidR="00A34345" w:rsidRPr="00347524">
        <w:rPr>
          <w:lang w:val="en-GB"/>
        </w:rPr>
        <w:t xml:space="preserve">, </w:t>
      </w:r>
      <w:r w:rsidRPr="00347524">
        <w:rPr>
          <w:lang w:val="en-GB"/>
        </w:rPr>
        <w:t xml:space="preserve">the Parliament </w:t>
      </w:r>
      <w:r w:rsidR="00A34345" w:rsidRPr="00347524">
        <w:rPr>
          <w:lang w:val="en-GB"/>
        </w:rPr>
        <w:t xml:space="preserve">has </w:t>
      </w:r>
      <w:r w:rsidRPr="00347524">
        <w:rPr>
          <w:lang w:val="en-GB"/>
        </w:rPr>
        <w:t xml:space="preserve">on two occasions </w:t>
      </w:r>
      <w:r w:rsidR="00A34345" w:rsidRPr="00347524">
        <w:rPr>
          <w:lang w:val="en-GB"/>
        </w:rPr>
        <w:t xml:space="preserve">during its 2013-2017 </w:t>
      </w:r>
      <w:proofErr w:type="gramStart"/>
      <w:r w:rsidR="00A34345" w:rsidRPr="00347524">
        <w:rPr>
          <w:lang w:val="en-GB"/>
        </w:rPr>
        <w:t>period</w:t>
      </w:r>
      <w:proofErr w:type="gramEnd"/>
      <w:r w:rsidRPr="00347524">
        <w:rPr>
          <w:lang w:val="en-GB"/>
        </w:rPr>
        <w:t xml:space="preserve">, </w:t>
      </w:r>
      <w:r w:rsidR="00A34345" w:rsidRPr="00347524">
        <w:rPr>
          <w:lang w:val="en-GB"/>
        </w:rPr>
        <w:t>decided</w:t>
      </w:r>
      <w:r w:rsidRPr="00347524">
        <w:rPr>
          <w:lang w:val="en-GB"/>
        </w:rPr>
        <w:t xml:space="preserve"> not to compensate other </w:t>
      </w:r>
      <w:r w:rsidR="00A34345" w:rsidRPr="00347524">
        <w:rPr>
          <w:lang w:val="en-GB"/>
        </w:rPr>
        <w:t>religious and belief</w:t>
      </w:r>
      <w:r w:rsidRPr="00347524">
        <w:rPr>
          <w:lang w:val="en-GB"/>
        </w:rPr>
        <w:t xml:space="preserve"> communities for extra funding to the Church.</w:t>
      </w:r>
      <w:r w:rsidR="00A34345" w:rsidRPr="00347524">
        <w:rPr>
          <w:rStyle w:val="Fotnotereferanse"/>
          <w:lang w:val="en-GB"/>
        </w:rPr>
        <w:footnoteReference w:id="4"/>
      </w:r>
    </w:p>
    <w:p w:rsidR="00B71E11" w:rsidRPr="00347524" w:rsidRDefault="00D50AC6" w:rsidP="003C49B8">
      <w:pPr>
        <w:spacing w:line="240" w:lineRule="auto"/>
        <w:rPr>
          <w:lang w:val="en-GB"/>
        </w:rPr>
      </w:pPr>
      <w:r w:rsidRPr="00347524">
        <w:rPr>
          <w:lang w:val="en-GB"/>
        </w:rPr>
        <w:t>In September 2017</w:t>
      </w:r>
      <w:r w:rsidR="00A34345" w:rsidRPr="00347524">
        <w:rPr>
          <w:lang w:val="en-GB"/>
        </w:rPr>
        <w:t>,</w:t>
      </w:r>
      <w:r w:rsidRPr="00347524">
        <w:rPr>
          <w:lang w:val="en-GB"/>
        </w:rPr>
        <w:t xml:space="preserve"> the </w:t>
      </w:r>
      <w:r w:rsidR="00A34345" w:rsidRPr="00347524">
        <w:rPr>
          <w:lang w:val="en-GB"/>
        </w:rPr>
        <w:t>G</w:t>
      </w:r>
      <w:r w:rsidRPr="00347524">
        <w:rPr>
          <w:lang w:val="en-GB"/>
        </w:rPr>
        <w:t xml:space="preserve">overnment </w:t>
      </w:r>
      <w:r w:rsidR="00A34345" w:rsidRPr="00347524">
        <w:rPr>
          <w:lang w:val="en-GB"/>
        </w:rPr>
        <w:t>published</w:t>
      </w:r>
      <w:r w:rsidRPr="00347524">
        <w:rPr>
          <w:lang w:val="en-GB"/>
        </w:rPr>
        <w:t xml:space="preserve"> a white paper, introducing new proposal</w:t>
      </w:r>
      <w:r w:rsidR="00A34345" w:rsidRPr="00347524">
        <w:rPr>
          <w:lang w:val="en-GB"/>
        </w:rPr>
        <w:t>s</w:t>
      </w:r>
      <w:r w:rsidRPr="00347524">
        <w:rPr>
          <w:lang w:val="en-GB"/>
        </w:rPr>
        <w:t xml:space="preserve"> for how the state shall give financial support to </w:t>
      </w:r>
      <w:r w:rsidR="00A34345" w:rsidRPr="00347524">
        <w:rPr>
          <w:lang w:val="en-GB"/>
        </w:rPr>
        <w:t>religious or belief</w:t>
      </w:r>
      <w:r w:rsidRPr="00347524">
        <w:rPr>
          <w:lang w:val="en-GB"/>
        </w:rPr>
        <w:t xml:space="preserve"> communities. Taking </w:t>
      </w:r>
      <w:r w:rsidR="00A241B3" w:rsidRPr="00347524">
        <w:rPr>
          <w:lang w:val="en-GB"/>
        </w:rPr>
        <w:t>article 16 of the constitution as a starting point</w:t>
      </w:r>
      <w:r w:rsidRPr="00347524">
        <w:rPr>
          <w:lang w:val="en-GB"/>
        </w:rPr>
        <w:t xml:space="preserve">, the </w:t>
      </w:r>
      <w:r w:rsidR="00A34345" w:rsidRPr="00347524">
        <w:rPr>
          <w:lang w:val="en-GB"/>
        </w:rPr>
        <w:t>G</w:t>
      </w:r>
      <w:r w:rsidRPr="00347524">
        <w:rPr>
          <w:lang w:val="en-GB"/>
        </w:rPr>
        <w:t xml:space="preserve">overnment introduces different </w:t>
      </w:r>
      <w:r w:rsidR="00A34345" w:rsidRPr="00347524">
        <w:rPr>
          <w:lang w:val="en-GB"/>
        </w:rPr>
        <w:t>criteria</w:t>
      </w:r>
      <w:r w:rsidRPr="00347524">
        <w:rPr>
          <w:lang w:val="en-GB"/>
        </w:rPr>
        <w:t xml:space="preserve"> of economic support. The </w:t>
      </w:r>
      <w:r w:rsidR="00A34345" w:rsidRPr="00347524">
        <w:rPr>
          <w:lang w:val="en-GB"/>
        </w:rPr>
        <w:t xml:space="preserve">number of </w:t>
      </w:r>
      <w:r w:rsidRPr="00347524">
        <w:rPr>
          <w:lang w:val="en-GB"/>
        </w:rPr>
        <w:t>member</w:t>
      </w:r>
      <w:r w:rsidR="00A34345" w:rsidRPr="00347524">
        <w:rPr>
          <w:lang w:val="en-GB"/>
        </w:rPr>
        <w:t>s</w:t>
      </w:r>
      <w:r w:rsidRPr="00347524">
        <w:rPr>
          <w:lang w:val="en-GB"/>
        </w:rPr>
        <w:t xml:space="preserve"> of the </w:t>
      </w:r>
      <w:r w:rsidR="00A34345" w:rsidRPr="00347524">
        <w:rPr>
          <w:lang w:val="en-GB"/>
        </w:rPr>
        <w:t>C</w:t>
      </w:r>
      <w:r w:rsidRPr="00347524">
        <w:rPr>
          <w:lang w:val="en-GB"/>
        </w:rPr>
        <w:t xml:space="preserve">hurch </w:t>
      </w:r>
      <w:r w:rsidR="00A34345" w:rsidRPr="00347524">
        <w:rPr>
          <w:lang w:val="en-GB"/>
        </w:rPr>
        <w:t xml:space="preserve">of Norway </w:t>
      </w:r>
      <w:r w:rsidRPr="00347524">
        <w:rPr>
          <w:lang w:val="en-GB"/>
        </w:rPr>
        <w:t xml:space="preserve">will no longer </w:t>
      </w:r>
      <w:r w:rsidR="00A34345" w:rsidRPr="00347524">
        <w:rPr>
          <w:lang w:val="en-GB"/>
        </w:rPr>
        <w:t>be a criterion for the size of the economic support</w:t>
      </w:r>
      <w:r w:rsidR="00A241B3" w:rsidRPr="00347524">
        <w:rPr>
          <w:lang w:val="en-GB"/>
        </w:rPr>
        <w:t xml:space="preserve"> received from</w:t>
      </w:r>
      <w:r w:rsidR="008C155D" w:rsidRPr="00347524">
        <w:rPr>
          <w:lang w:val="en-GB"/>
        </w:rPr>
        <w:t xml:space="preserve"> the state</w:t>
      </w:r>
      <w:r w:rsidRPr="00347524">
        <w:rPr>
          <w:lang w:val="en-GB"/>
        </w:rPr>
        <w:t xml:space="preserve">, while it </w:t>
      </w:r>
      <w:r w:rsidR="00A34345" w:rsidRPr="00347524">
        <w:rPr>
          <w:lang w:val="en-GB"/>
        </w:rPr>
        <w:t>will remain so for</w:t>
      </w:r>
      <w:r w:rsidRPr="00347524">
        <w:rPr>
          <w:lang w:val="en-GB"/>
        </w:rPr>
        <w:t xml:space="preserve"> other communities. </w:t>
      </w:r>
    </w:p>
    <w:p w:rsidR="00B71E11" w:rsidRPr="00347524" w:rsidRDefault="00D50AC6" w:rsidP="003C49B8">
      <w:pPr>
        <w:spacing w:line="240" w:lineRule="auto"/>
        <w:rPr>
          <w:lang w:val="en-GB"/>
        </w:rPr>
      </w:pPr>
      <w:r w:rsidRPr="00347524">
        <w:rPr>
          <w:lang w:val="en-GB"/>
        </w:rPr>
        <w:t>All minority communities</w:t>
      </w:r>
      <w:r w:rsidR="008C155D" w:rsidRPr="00347524">
        <w:rPr>
          <w:lang w:val="en-GB"/>
        </w:rPr>
        <w:t xml:space="preserve"> that commented on the proposal</w:t>
      </w:r>
      <w:r w:rsidRPr="00347524">
        <w:rPr>
          <w:lang w:val="en-GB"/>
        </w:rPr>
        <w:t xml:space="preserve"> agree</w:t>
      </w:r>
      <w:r w:rsidR="008C155D" w:rsidRPr="00347524">
        <w:rPr>
          <w:lang w:val="en-GB"/>
        </w:rPr>
        <w:t>d</w:t>
      </w:r>
      <w:r w:rsidRPr="00347524">
        <w:rPr>
          <w:lang w:val="en-GB"/>
        </w:rPr>
        <w:t xml:space="preserve"> that </w:t>
      </w:r>
      <w:r w:rsidR="008C155D" w:rsidRPr="00347524">
        <w:rPr>
          <w:lang w:val="en-GB"/>
        </w:rPr>
        <w:t>it</w:t>
      </w:r>
      <w:r w:rsidRPr="00347524">
        <w:rPr>
          <w:lang w:val="en-GB"/>
        </w:rPr>
        <w:t xml:space="preserve"> may </w:t>
      </w:r>
      <w:r w:rsidR="00B71E11" w:rsidRPr="00347524">
        <w:rPr>
          <w:lang w:val="en-GB"/>
        </w:rPr>
        <w:t xml:space="preserve">lead </w:t>
      </w:r>
      <w:r w:rsidRPr="00347524">
        <w:rPr>
          <w:lang w:val="en-GB"/>
        </w:rPr>
        <w:t xml:space="preserve">to discrimination and undermine equal treatment. The </w:t>
      </w:r>
      <w:r w:rsidR="00B71E11" w:rsidRPr="00347524">
        <w:rPr>
          <w:lang w:val="en-GB"/>
        </w:rPr>
        <w:t>G</w:t>
      </w:r>
      <w:r w:rsidRPr="00347524">
        <w:rPr>
          <w:lang w:val="en-GB"/>
        </w:rPr>
        <w:t>overnment argue</w:t>
      </w:r>
      <w:r w:rsidR="00B71E11" w:rsidRPr="00347524">
        <w:rPr>
          <w:lang w:val="en-GB"/>
        </w:rPr>
        <w:t>d</w:t>
      </w:r>
      <w:r w:rsidRPr="00347524">
        <w:rPr>
          <w:lang w:val="en-GB"/>
        </w:rPr>
        <w:t xml:space="preserve"> that the </w:t>
      </w:r>
      <w:r w:rsidR="00B71E11" w:rsidRPr="00347524">
        <w:rPr>
          <w:lang w:val="en-GB"/>
        </w:rPr>
        <w:t>C</w:t>
      </w:r>
      <w:r w:rsidRPr="00347524">
        <w:rPr>
          <w:lang w:val="en-GB"/>
        </w:rPr>
        <w:t xml:space="preserve">hurch </w:t>
      </w:r>
      <w:r w:rsidR="00B71E11" w:rsidRPr="00347524">
        <w:rPr>
          <w:lang w:val="en-GB"/>
        </w:rPr>
        <w:t xml:space="preserve">of Norway </w:t>
      </w:r>
      <w:r w:rsidRPr="00347524">
        <w:rPr>
          <w:lang w:val="en-GB"/>
        </w:rPr>
        <w:t xml:space="preserve">has a special role as an established church and therefore should be given more support than the others. This is another example </w:t>
      </w:r>
      <w:r w:rsidR="00A241B3" w:rsidRPr="00347524">
        <w:rPr>
          <w:lang w:val="en-GB"/>
        </w:rPr>
        <w:t>of how the</w:t>
      </w:r>
      <w:r w:rsidRPr="00347524">
        <w:rPr>
          <w:lang w:val="en-GB"/>
        </w:rPr>
        <w:t xml:space="preserve"> wording in the Constitution is used politically and no</w:t>
      </w:r>
      <w:r w:rsidR="00A241B3" w:rsidRPr="00347524">
        <w:rPr>
          <w:lang w:val="en-GB"/>
        </w:rPr>
        <w:t>t</w:t>
      </w:r>
      <w:r w:rsidRPr="00347524">
        <w:rPr>
          <w:lang w:val="en-GB"/>
        </w:rPr>
        <w:t xml:space="preserve"> just as a symbol.</w:t>
      </w:r>
    </w:p>
    <w:p w:rsidR="00D50AC6" w:rsidRPr="00347524" w:rsidRDefault="00B71E11" w:rsidP="003C49B8">
      <w:pPr>
        <w:spacing w:line="240" w:lineRule="auto"/>
        <w:rPr>
          <w:lang w:val="en-GB"/>
        </w:rPr>
      </w:pPr>
      <w:r w:rsidRPr="00347524">
        <w:rPr>
          <w:lang w:val="en-GB"/>
        </w:rPr>
        <w:t xml:space="preserve">The public Hearing on the Government law proposal ended on </w:t>
      </w:r>
      <w:r w:rsidR="00A241B3" w:rsidRPr="00347524">
        <w:rPr>
          <w:lang w:val="en-GB"/>
        </w:rPr>
        <w:t>the 31</w:t>
      </w:r>
      <w:r w:rsidR="00A241B3" w:rsidRPr="00347524">
        <w:rPr>
          <w:vertAlign w:val="superscript"/>
          <w:lang w:val="en-GB"/>
        </w:rPr>
        <w:t>st</w:t>
      </w:r>
      <w:r w:rsidR="00A241B3" w:rsidRPr="00347524">
        <w:rPr>
          <w:lang w:val="en-GB"/>
        </w:rPr>
        <w:t xml:space="preserve"> of December 2017</w:t>
      </w:r>
      <w:r w:rsidRPr="00347524">
        <w:rPr>
          <w:lang w:val="en-GB"/>
        </w:rPr>
        <w:t xml:space="preserve">, and it remains to be seen how </w:t>
      </w:r>
      <w:r w:rsidR="00A241B3" w:rsidRPr="00347524">
        <w:rPr>
          <w:lang w:val="en-GB"/>
        </w:rPr>
        <w:t>the</w:t>
      </w:r>
      <w:r w:rsidR="003C08D0" w:rsidRPr="00347524">
        <w:rPr>
          <w:lang w:val="en-GB"/>
        </w:rPr>
        <w:t xml:space="preserve"> </w:t>
      </w:r>
      <w:r w:rsidRPr="00347524">
        <w:rPr>
          <w:lang w:val="en-GB"/>
        </w:rPr>
        <w:t>Government conclude</w:t>
      </w:r>
      <w:r w:rsidR="00723B69" w:rsidRPr="00347524">
        <w:rPr>
          <w:lang w:val="en-GB"/>
        </w:rPr>
        <w:t>s</w:t>
      </w:r>
      <w:r w:rsidRPr="00347524">
        <w:rPr>
          <w:lang w:val="en-GB"/>
        </w:rPr>
        <w:t xml:space="preserve"> and which proposals it decides to present to the Parliament.</w:t>
      </w:r>
      <w:r w:rsidRPr="00347524">
        <w:rPr>
          <w:rStyle w:val="Fotnotereferanse"/>
          <w:lang w:val="en-GB"/>
        </w:rPr>
        <w:footnoteReference w:id="5"/>
      </w:r>
    </w:p>
    <w:p w:rsidR="000217AF" w:rsidRPr="00347524" w:rsidRDefault="00E667DA" w:rsidP="003C49B8">
      <w:pPr>
        <w:spacing w:line="240" w:lineRule="auto"/>
        <w:rPr>
          <w:lang w:val="en-GB"/>
        </w:rPr>
      </w:pPr>
      <w:r w:rsidRPr="00347524">
        <w:rPr>
          <w:lang w:val="en-GB"/>
        </w:rPr>
        <w:t>In summing up</w:t>
      </w:r>
      <w:r w:rsidR="00A241B3" w:rsidRPr="00347524">
        <w:rPr>
          <w:lang w:val="en-GB"/>
        </w:rPr>
        <w:t>,</w:t>
      </w:r>
      <w:r w:rsidRPr="00347524">
        <w:rPr>
          <w:lang w:val="en-GB"/>
        </w:rPr>
        <w:t xml:space="preserve"> we endorse </w:t>
      </w:r>
      <w:r w:rsidR="008C155D" w:rsidRPr="00347524">
        <w:rPr>
          <w:lang w:val="en-GB"/>
        </w:rPr>
        <w:t xml:space="preserve">a conclusion </w:t>
      </w:r>
      <w:r w:rsidR="001C7DC8" w:rsidRPr="00347524">
        <w:rPr>
          <w:lang w:val="en-GB"/>
        </w:rPr>
        <w:t xml:space="preserve">made </w:t>
      </w:r>
      <w:r w:rsidR="008C155D" w:rsidRPr="00347524">
        <w:rPr>
          <w:lang w:val="en-GB"/>
        </w:rPr>
        <w:t>by</w:t>
      </w:r>
      <w:r w:rsidRPr="00347524">
        <w:rPr>
          <w:lang w:val="en-GB"/>
        </w:rPr>
        <w:t xml:space="preserve"> </w:t>
      </w:r>
      <w:r w:rsidR="00B71E11" w:rsidRPr="00347524">
        <w:rPr>
          <w:lang w:val="en-GB"/>
        </w:rPr>
        <w:t>Norway’s National Institution on Human Rights in its annual report</w:t>
      </w:r>
      <w:r w:rsidRPr="00347524">
        <w:rPr>
          <w:lang w:val="en-GB"/>
        </w:rPr>
        <w:t xml:space="preserve"> 2016 (page 76), </w:t>
      </w:r>
      <w:r w:rsidR="00D50AC6" w:rsidRPr="00347524">
        <w:rPr>
          <w:lang w:val="en-GB"/>
        </w:rPr>
        <w:t>“The new way to organize the Church of Norway might</w:t>
      </w:r>
      <w:r w:rsidR="008C155D" w:rsidRPr="00347524">
        <w:rPr>
          <w:lang w:val="en-GB"/>
        </w:rPr>
        <w:t>,</w:t>
      </w:r>
      <w:r w:rsidR="00D50AC6" w:rsidRPr="00347524">
        <w:rPr>
          <w:lang w:val="en-GB"/>
        </w:rPr>
        <w:t xml:space="preserve"> </w:t>
      </w:r>
      <w:r w:rsidRPr="00347524">
        <w:rPr>
          <w:lang w:val="en-GB"/>
        </w:rPr>
        <w:t>considering</w:t>
      </w:r>
      <w:r w:rsidR="00D50AC6" w:rsidRPr="00347524">
        <w:rPr>
          <w:lang w:val="en-GB"/>
        </w:rPr>
        <w:t xml:space="preserve"> the circumstances</w:t>
      </w:r>
      <w:r w:rsidR="008C155D" w:rsidRPr="00347524">
        <w:rPr>
          <w:lang w:val="en-GB"/>
        </w:rPr>
        <w:t>,</w:t>
      </w:r>
      <w:r w:rsidR="00D50AC6" w:rsidRPr="00347524">
        <w:rPr>
          <w:lang w:val="en-GB"/>
        </w:rPr>
        <w:t xml:space="preserve"> lead to challenges related to freedom </w:t>
      </w:r>
      <w:r w:rsidRPr="00347524">
        <w:rPr>
          <w:lang w:val="en-GB"/>
        </w:rPr>
        <w:t xml:space="preserve">of religion </w:t>
      </w:r>
      <w:r w:rsidR="00D50AC6" w:rsidRPr="00347524">
        <w:rPr>
          <w:lang w:val="en-GB"/>
        </w:rPr>
        <w:t xml:space="preserve">and the </w:t>
      </w:r>
      <w:r w:rsidRPr="00347524">
        <w:rPr>
          <w:lang w:val="en-GB"/>
        </w:rPr>
        <w:t>protection</w:t>
      </w:r>
      <w:r w:rsidR="00D50AC6" w:rsidRPr="00347524">
        <w:rPr>
          <w:lang w:val="en-GB"/>
        </w:rPr>
        <w:t xml:space="preserve"> against discrimination, both </w:t>
      </w:r>
      <w:r w:rsidRPr="00347524">
        <w:rPr>
          <w:lang w:val="en-GB"/>
        </w:rPr>
        <w:t>regarding</w:t>
      </w:r>
      <w:r w:rsidR="00D50AC6" w:rsidRPr="00347524">
        <w:rPr>
          <w:lang w:val="en-GB"/>
        </w:rPr>
        <w:t xml:space="preserve"> other religious and </w:t>
      </w:r>
      <w:r w:rsidRPr="00347524">
        <w:rPr>
          <w:lang w:val="en-GB"/>
        </w:rPr>
        <w:t>belief</w:t>
      </w:r>
      <w:r w:rsidR="00D50AC6" w:rsidRPr="00347524">
        <w:rPr>
          <w:lang w:val="en-GB"/>
        </w:rPr>
        <w:t xml:space="preserve"> communities and regard</w:t>
      </w:r>
      <w:r w:rsidRPr="00347524">
        <w:rPr>
          <w:lang w:val="en-GB"/>
        </w:rPr>
        <w:t>ing</w:t>
      </w:r>
      <w:r w:rsidR="00D50AC6" w:rsidRPr="00347524">
        <w:rPr>
          <w:lang w:val="en-GB"/>
        </w:rPr>
        <w:t xml:space="preserve"> the Church of Norway itself.”</w:t>
      </w:r>
      <w:r w:rsidRPr="00347524">
        <w:rPr>
          <w:rStyle w:val="Fotnotereferanse"/>
          <w:lang w:val="en-GB"/>
        </w:rPr>
        <w:footnoteReference w:id="6"/>
      </w:r>
    </w:p>
    <w:p w:rsidR="00D50AC6" w:rsidRPr="00347524" w:rsidRDefault="00D50AC6" w:rsidP="003C49B8">
      <w:pPr>
        <w:spacing w:line="240" w:lineRule="auto"/>
        <w:rPr>
          <w:lang w:val="en-GB"/>
        </w:rPr>
      </w:pPr>
      <w:r w:rsidRPr="00347524">
        <w:rPr>
          <w:b/>
          <w:lang w:val="en-GB"/>
        </w:rPr>
        <w:t>Recommendations:</w:t>
      </w:r>
    </w:p>
    <w:p w:rsidR="00D50AC6" w:rsidRPr="00347524" w:rsidRDefault="00D50AC6" w:rsidP="003C49B8">
      <w:pPr>
        <w:pStyle w:val="Listeavsnitt"/>
        <w:numPr>
          <w:ilvl w:val="0"/>
          <w:numId w:val="45"/>
        </w:numPr>
        <w:spacing w:line="240" w:lineRule="auto"/>
        <w:rPr>
          <w:lang w:val="en-GB"/>
        </w:rPr>
      </w:pPr>
      <w:r w:rsidRPr="00347524">
        <w:rPr>
          <w:lang w:val="en-GB"/>
        </w:rPr>
        <w:t xml:space="preserve">The articles in the Constitution concerning religion, church and the values of the State, should be </w:t>
      </w:r>
      <w:r w:rsidR="001C7DC8" w:rsidRPr="00347524">
        <w:rPr>
          <w:lang w:val="en-GB"/>
        </w:rPr>
        <w:t>amended, aiming</w:t>
      </w:r>
      <w:r w:rsidRPr="00347524">
        <w:rPr>
          <w:lang w:val="en-GB"/>
        </w:rPr>
        <w:t xml:space="preserve"> at securing equality and non-discrimination in an open and </w:t>
      </w:r>
      <w:r w:rsidR="001C7DC8" w:rsidRPr="00347524">
        <w:rPr>
          <w:lang w:val="en-GB"/>
        </w:rPr>
        <w:t xml:space="preserve">inclusive </w:t>
      </w:r>
      <w:r w:rsidRPr="00347524">
        <w:rPr>
          <w:lang w:val="en-GB"/>
        </w:rPr>
        <w:t>way</w:t>
      </w:r>
      <w:r w:rsidR="003E6305" w:rsidRPr="00347524">
        <w:rPr>
          <w:lang w:val="en-GB"/>
        </w:rPr>
        <w:t>;</w:t>
      </w:r>
    </w:p>
    <w:p w:rsidR="003E6305" w:rsidRPr="00347524" w:rsidRDefault="003E6305" w:rsidP="003C49B8">
      <w:pPr>
        <w:pStyle w:val="Listeavsnitt"/>
        <w:numPr>
          <w:ilvl w:val="1"/>
          <w:numId w:val="45"/>
        </w:numPr>
        <w:spacing w:line="240" w:lineRule="auto"/>
        <w:rPr>
          <w:lang w:val="en-GB"/>
        </w:rPr>
      </w:pPr>
      <w:r w:rsidRPr="00347524">
        <w:rPr>
          <w:lang w:val="en-GB"/>
        </w:rPr>
        <w:t>First sentence of article 2 should be repealed;</w:t>
      </w:r>
    </w:p>
    <w:p w:rsidR="00D50AC6" w:rsidRPr="00347524" w:rsidRDefault="003E6305" w:rsidP="003C49B8">
      <w:pPr>
        <w:pStyle w:val="Listeavsnitt"/>
        <w:numPr>
          <w:ilvl w:val="1"/>
          <w:numId w:val="45"/>
        </w:numPr>
        <w:spacing w:line="240" w:lineRule="auto"/>
        <w:rPr>
          <w:lang w:val="en-GB"/>
        </w:rPr>
      </w:pPr>
      <w:r w:rsidRPr="00347524">
        <w:rPr>
          <w:lang w:val="en-GB"/>
        </w:rPr>
        <w:t>A</w:t>
      </w:r>
      <w:r w:rsidR="00D50AC6" w:rsidRPr="00347524">
        <w:rPr>
          <w:lang w:val="en-GB"/>
        </w:rPr>
        <w:t xml:space="preserve">rticle 4 </w:t>
      </w:r>
      <w:r w:rsidRPr="00347524">
        <w:rPr>
          <w:lang w:val="en-GB"/>
        </w:rPr>
        <w:t>of</w:t>
      </w:r>
      <w:r w:rsidR="00D50AC6" w:rsidRPr="00347524">
        <w:rPr>
          <w:lang w:val="en-GB"/>
        </w:rPr>
        <w:t xml:space="preserve"> the Constitution</w:t>
      </w:r>
      <w:r w:rsidRPr="00347524">
        <w:rPr>
          <w:lang w:val="en-GB"/>
        </w:rPr>
        <w:t xml:space="preserve"> should be repealed;</w:t>
      </w:r>
    </w:p>
    <w:p w:rsidR="00D50AC6" w:rsidRPr="00347524" w:rsidRDefault="003E6305" w:rsidP="003C49B8">
      <w:pPr>
        <w:pStyle w:val="Listeavsnitt"/>
        <w:numPr>
          <w:ilvl w:val="1"/>
          <w:numId w:val="45"/>
        </w:numPr>
        <w:spacing w:line="240" w:lineRule="auto"/>
        <w:rPr>
          <w:lang w:val="en-GB"/>
        </w:rPr>
      </w:pPr>
      <w:r w:rsidRPr="00347524">
        <w:rPr>
          <w:lang w:val="en-GB"/>
        </w:rPr>
        <w:t xml:space="preserve">Sentence 2 and 3 of </w:t>
      </w:r>
      <w:r w:rsidR="00D50AC6" w:rsidRPr="00347524">
        <w:rPr>
          <w:lang w:val="en-GB"/>
        </w:rPr>
        <w:t>article 16</w:t>
      </w:r>
      <w:r w:rsidRPr="00347524">
        <w:rPr>
          <w:lang w:val="en-GB"/>
        </w:rPr>
        <w:t xml:space="preserve"> should be repealed;</w:t>
      </w:r>
    </w:p>
    <w:p w:rsidR="00D50AC6" w:rsidRPr="00347524" w:rsidRDefault="00D50AC6" w:rsidP="003C49B8">
      <w:pPr>
        <w:pStyle w:val="Listeavsnitt"/>
        <w:numPr>
          <w:ilvl w:val="0"/>
          <w:numId w:val="45"/>
        </w:numPr>
        <w:spacing w:line="240" w:lineRule="auto"/>
        <w:rPr>
          <w:lang w:val="en-GB"/>
        </w:rPr>
      </w:pPr>
      <w:r w:rsidRPr="00347524">
        <w:rPr>
          <w:lang w:val="en-GB"/>
        </w:rPr>
        <w:t xml:space="preserve">The </w:t>
      </w:r>
      <w:r w:rsidR="003E6305" w:rsidRPr="00347524">
        <w:rPr>
          <w:lang w:val="en-GB"/>
        </w:rPr>
        <w:t xml:space="preserve">proposed </w:t>
      </w:r>
      <w:r w:rsidRPr="00347524">
        <w:rPr>
          <w:lang w:val="en-GB"/>
        </w:rPr>
        <w:t xml:space="preserve">new system for economic support to the church and </w:t>
      </w:r>
      <w:r w:rsidR="003E6305" w:rsidRPr="00347524">
        <w:rPr>
          <w:lang w:val="en-GB"/>
        </w:rPr>
        <w:t>religious and belief communities should</w:t>
      </w:r>
      <w:r w:rsidRPr="00347524">
        <w:rPr>
          <w:lang w:val="en-GB"/>
        </w:rPr>
        <w:t xml:space="preserve"> ensure equal treatment</w:t>
      </w:r>
      <w:r w:rsidR="001C7DC8" w:rsidRPr="00347524">
        <w:rPr>
          <w:lang w:val="en-GB"/>
        </w:rPr>
        <w:t xml:space="preserve"> for</w:t>
      </w:r>
      <w:r w:rsidR="008C155D" w:rsidRPr="00347524">
        <w:rPr>
          <w:lang w:val="en-GB"/>
        </w:rPr>
        <w:t xml:space="preserve"> all religious and belief communities.</w:t>
      </w:r>
    </w:p>
    <w:p w:rsidR="00D50AC6" w:rsidRPr="00347524" w:rsidRDefault="00D50AC6" w:rsidP="003C49B8">
      <w:pPr>
        <w:spacing w:line="240" w:lineRule="auto"/>
        <w:rPr>
          <w:lang w:val="en-GB"/>
        </w:rPr>
      </w:pPr>
    </w:p>
    <w:p w:rsidR="005B0DF4" w:rsidRPr="000D2BE3" w:rsidRDefault="00D6295B" w:rsidP="003C49B8">
      <w:pPr>
        <w:pStyle w:val="Overskrift1"/>
        <w:spacing w:before="0" w:line="240" w:lineRule="auto"/>
        <w:rPr>
          <w:rFonts w:asciiTheme="minorHAnsi" w:hAnsiTheme="minorHAnsi" w:cs="Arial"/>
          <w:color w:val="1F497D" w:themeColor="text2"/>
          <w:sz w:val="24"/>
          <w:szCs w:val="22"/>
          <w:lang w:val="en-GB"/>
        </w:rPr>
      </w:pPr>
      <w:bookmarkStart w:id="3" w:name="_Toc508351733"/>
      <w:r w:rsidRPr="000D2BE3">
        <w:rPr>
          <w:rFonts w:asciiTheme="minorHAnsi" w:hAnsiTheme="minorHAnsi"/>
          <w:color w:val="1F497D" w:themeColor="text2"/>
          <w:szCs w:val="22"/>
          <w:lang w:val="en-GB"/>
        </w:rPr>
        <w:t>5-8 Non-discrimination, equality between men and women (arts. 2, para. 1, 3, 20 and 26)</w:t>
      </w:r>
      <w:bookmarkEnd w:id="3"/>
    </w:p>
    <w:p w:rsidR="00D6295B" w:rsidRPr="00347524" w:rsidRDefault="00D6295B" w:rsidP="003C49B8">
      <w:pPr>
        <w:pStyle w:val="Listeavsnitt"/>
        <w:spacing w:line="240" w:lineRule="auto"/>
        <w:ind w:left="1080"/>
        <w:rPr>
          <w:rFonts w:cs="Arial"/>
          <w:lang w:val="en-GB"/>
        </w:rPr>
      </w:pPr>
    </w:p>
    <w:p w:rsidR="00E95041" w:rsidRPr="00347524" w:rsidRDefault="00E95041" w:rsidP="003C49B8">
      <w:pPr>
        <w:spacing w:line="240" w:lineRule="auto"/>
        <w:rPr>
          <w:rFonts w:eastAsia="Times New Roman" w:cs="Times New Roman"/>
          <w:shd w:val="clear" w:color="auto" w:fill="FFFFFF"/>
          <w:lang w:val="en-GB" w:eastAsia="nb-NO"/>
        </w:rPr>
      </w:pPr>
      <w:r w:rsidRPr="00347524">
        <w:rPr>
          <w:rFonts w:eastAsia="Times New Roman" w:cs="Times New Roman"/>
          <w:b/>
          <w:shd w:val="clear" w:color="auto" w:fill="FFFFFF"/>
          <w:lang w:val="en-GB" w:eastAsia="nb-NO"/>
        </w:rPr>
        <w:t>6</w:t>
      </w:r>
      <w:r w:rsidR="00D6295B" w:rsidRPr="00347524">
        <w:rPr>
          <w:rFonts w:eastAsia="Times New Roman" w:cs="Times New Roman"/>
          <w:b/>
          <w:shd w:val="clear" w:color="auto" w:fill="FFFFFF"/>
          <w:lang w:val="en-GB" w:eastAsia="nb-NO"/>
        </w:rPr>
        <w:t>.</w:t>
      </w:r>
      <w:r w:rsidRPr="00347524">
        <w:rPr>
          <w:rFonts w:eastAsia="Times New Roman" w:cs="Times New Roman"/>
          <w:b/>
          <w:shd w:val="clear" w:color="auto" w:fill="FFFFFF"/>
          <w:lang w:val="en-GB" w:eastAsia="nb-NO"/>
        </w:rPr>
        <w:t xml:space="preserve"> Discrimination in </w:t>
      </w:r>
      <w:r w:rsidR="00D6295B" w:rsidRPr="00347524">
        <w:rPr>
          <w:rFonts w:eastAsia="Times New Roman" w:cs="Times New Roman"/>
          <w:b/>
          <w:shd w:val="clear" w:color="auto" w:fill="FFFFFF"/>
          <w:lang w:val="en-GB" w:eastAsia="nb-NO"/>
        </w:rPr>
        <w:t xml:space="preserve">the </w:t>
      </w:r>
      <w:r w:rsidR="00BA02C2" w:rsidRPr="00347524">
        <w:rPr>
          <w:rFonts w:eastAsia="Times New Roman" w:cs="Times New Roman"/>
          <w:b/>
          <w:shd w:val="clear" w:color="auto" w:fill="FFFFFF"/>
          <w:lang w:val="en-GB" w:eastAsia="nb-NO"/>
        </w:rPr>
        <w:t>tenancy</w:t>
      </w:r>
      <w:r w:rsidR="00107101" w:rsidRPr="00347524">
        <w:rPr>
          <w:rFonts w:eastAsia="Times New Roman" w:cs="Times New Roman"/>
          <w:b/>
          <w:shd w:val="clear" w:color="auto" w:fill="FFFFFF"/>
          <w:lang w:val="en-GB" w:eastAsia="nb-NO"/>
        </w:rPr>
        <w:t xml:space="preserve"> marke</w:t>
      </w:r>
      <w:r w:rsidR="00BA02C2" w:rsidRPr="00347524">
        <w:rPr>
          <w:rFonts w:eastAsia="Times New Roman" w:cs="Times New Roman"/>
          <w:b/>
          <w:shd w:val="clear" w:color="auto" w:fill="FFFFFF"/>
          <w:lang w:val="en-GB" w:eastAsia="nb-NO"/>
        </w:rPr>
        <w:t>t</w:t>
      </w:r>
      <w:r w:rsidRPr="00347524">
        <w:rPr>
          <w:rFonts w:eastAsia="Times New Roman" w:cs="Times New Roman"/>
          <w:lang w:val="en-GB" w:eastAsia="nb-NO"/>
        </w:rPr>
        <w:br/>
      </w:r>
      <w:r w:rsidRPr="00347524">
        <w:rPr>
          <w:rFonts w:eastAsia="Times New Roman" w:cs="Times New Roman"/>
          <w:lang w:val="en-GB" w:eastAsia="nb-NO"/>
        </w:rPr>
        <w:br/>
      </w:r>
      <w:r w:rsidRPr="00347524">
        <w:rPr>
          <w:rFonts w:eastAsia="Times New Roman" w:cs="Times New Roman"/>
          <w:i/>
          <w:shd w:val="clear" w:color="auto" w:fill="FFFFFF"/>
          <w:lang w:val="en-GB" w:eastAsia="nb-NO"/>
        </w:rPr>
        <w:t>Jussbuss</w:t>
      </w:r>
      <w:r w:rsidRPr="00347524">
        <w:rPr>
          <w:rFonts w:eastAsia="Times New Roman" w:cs="Times New Roman"/>
          <w:shd w:val="clear" w:color="auto" w:fill="FFFFFF"/>
          <w:lang w:val="en-GB" w:eastAsia="nb-NO"/>
        </w:rPr>
        <w:t xml:space="preserve"> has observed different forms of discrimination </w:t>
      </w:r>
      <w:r w:rsidR="00192FAB" w:rsidRPr="00347524">
        <w:rPr>
          <w:rFonts w:eastAsia="Times New Roman" w:cs="Times New Roman"/>
          <w:shd w:val="clear" w:color="auto" w:fill="FFFFFF"/>
          <w:lang w:val="en-GB" w:eastAsia="nb-NO"/>
        </w:rPr>
        <w:t xml:space="preserve">in the tenancy market </w:t>
      </w:r>
      <w:r w:rsidRPr="00347524">
        <w:rPr>
          <w:rFonts w:eastAsia="Times New Roman" w:cs="Times New Roman"/>
          <w:shd w:val="clear" w:color="auto" w:fill="FFFFFF"/>
          <w:lang w:val="en-GB" w:eastAsia="nb-NO"/>
        </w:rPr>
        <w:t xml:space="preserve">through </w:t>
      </w:r>
      <w:r w:rsidR="00D6295B" w:rsidRPr="00347524">
        <w:rPr>
          <w:rFonts w:eastAsia="Times New Roman" w:cs="Times New Roman"/>
          <w:shd w:val="clear" w:color="auto" w:fill="FFFFFF"/>
          <w:lang w:val="en-GB" w:eastAsia="nb-NO"/>
        </w:rPr>
        <w:t>its</w:t>
      </w:r>
      <w:r w:rsidRPr="00347524">
        <w:rPr>
          <w:rFonts w:eastAsia="Times New Roman" w:cs="Times New Roman"/>
          <w:shd w:val="clear" w:color="auto" w:fill="FFFFFF"/>
          <w:lang w:val="en-GB" w:eastAsia="nb-NO"/>
        </w:rPr>
        <w:t xml:space="preserve"> casework. Clients with foreign origin experience </w:t>
      </w:r>
      <w:r w:rsidR="00034E03" w:rsidRPr="00347524">
        <w:rPr>
          <w:rFonts w:eastAsia="Times New Roman" w:cs="Times New Roman"/>
          <w:shd w:val="clear" w:color="auto" w:fill="FFFFFF"/>
          <w:lang w:val="en-GB" w:eastAsia="nb-NO"/>
        </w:rPr>
        <w:t>discrimination</w:t>
      </w:r>
      <w:r w:rsidRPr="00347524">
        <w:rPr>
          <w:rFonts w:eastAsia="Times New Roman" w:cs="Times New Roman"/>
          <w:shd w:val="clear" w:color="auto" w:fill="FFFFFF"/>
          <w:lang w:val="en-GB" w:eastAsia="nb-NO"/>
        </w:rPr>
        <w:t xml:space="preserve"> when entering the tenancy market. Ethnic Norwegian tenants are often preferred by landlords and rental companies. </w:t>
      </w:r>
      <w:r w:rsidR="00EE33ED" w:rsidRPr="00347524">
        <w:rPr>
          <w:rFonts w:eastAsia="Times New Roman" w:cs="Times New Roman"/>
          <w:shd w:val="clear" w:color="auto" w:fill="FFFFFF"/>
          <w:lang w:val="en-GB" w:eastAsia="nb-NO"/>
        </w:rPr>
        <w:t>Jussbuss’</w:t>
      </w:r>
      <w:r w:rsidRPr="00347524">
        <w:rPr>
          <w:rFonts w:eastAsia="Times New Roman" w:cs="Times New Roman"/>
          <w:shd w:val="clear" w:color="auto" w:fill="FFFFFF"/>
          <w:lang w:val="en-GB" w:eastAsia="nb-NO"/>
        </w:rPr>
        <w:t xml:space="preserve"> clients are forced to accept residences with critically low standard</w:t>
      </w:r>
      <w:r w:rsidR="001C7DC8" w:rsidRPr="00347524">
        <w:rPr>
          <w:rFonts w:eastAsia="Times New Roman" w:cs="Times New Roman"/>
          <w:shd w:val="clear" w:color="auto" w:fill="FFFFFF"/>
          <w:lang w:val="en-GB" w:eastAsia="nb-NO"/>
        </w:rPr>
        <w:t>s</w:t>
      </w:r>
      <w:r w:rsidRPr="00347524">
        <w:rPr>
          <w:rFonts w:eastAsia="Times New Roman" w:cs="Times New Roman"/>
          <w:shd w:val="clear" w:color="auto" w:fill="FFFFFF"/>
          <w:lang w:val="en-GB" w:eastAsia="nb-NO"/>
        </w:rPr>
        <w:t xml:space="preserve"> and/or rental contracts with </w:t>
      </w:r>
      <w:r w:rsidR="003F3DDE" w:rsidRPr="00347524">
        <w:rPr>
          <w:rFonts w:eastAsia="Times New Roman" w:cs="Times New Roman"/>
          <w:shd w:val="clear" w:color="auto" w:fill="FFFFFF"/>
          <w:lang w:val="en-GB" w:eastAsia="nb-NO"/>
        </w:rPr>
        <w:t xml:space="preserve">unfavourable </w:t>
      </w:r>
      <w:r w:rsidRPr="00347524">
        <w:rPr>
          <w:rFonts w:eastAsia="Times New Roman" w:cs="Times New Roman"/>
          <w:shd w:val="clear" w:color="auto" w:fill="FFFFFF"/>
          <w:lang w:val="en-GB" w:eastAsia="nb-NO"/>
        </w:rPr>
        <w:t>conditions</w:t>
      </w:r>
      <w:r w:rsidR="00EE33ED" w:rsidRPr="00347524">
        <w:rPr>
          <w:rFonts w:eastAsia="Times New Roman" w:cs="Times New Roman"/>
          <w:shd w:val="clear" w:color="auto" w:fill="FFFFFF"/>
          <w:lang w:val="en-GB" w:eastAsia="nb-NO"/>
        </w:rPr>
        <w:t>.</w:t>
      </w:r>
    </w:p>
    <w:p w:rsidR="000217AF" w:rsidRPr="00347524" w:rsidRDefault="00E95041" w:rsidP="003C49B8">
      <w:pPr>
        <w:spacing w:line="240" w:lineRule="auto"/>
        <w:rPr>
          <w:rFonts w:eastAsia="Times New Roman" w:cs="Times New Roman"/>
          <w:lang w:val="en-GB" w:eastAsia="nb-NO"/>
        </w:rPr>
      </w:pPr>
      <w:r w:rsidRPr="00347524">
        <w:rPr>
          <w:rFonts w:eastAsia="Times New Roman" w:cs="Times New Roman"/>
          <w:shd w:val="clear" w:color="auto" w:fill="FFFFFF"/>
          <w:lang w:val="en-GB" w:eastAsia="nb-NO"/>
        </w:rPr>
        <w:t xml:space="preserve">Jussbuss also </w:t>
      </w:r>
      <w:r w:rsidR="00EE33ED" w:rsidRPr="00347524">
        <w:rPr>
          <w:rFonts w:eastAsia="Times New Roman" w:cs="Times New Roman"/>
          <w:shd w:val="clear" w:color="auto" w:fill="FFFFFF"/>
          <w:lang w:val="en-GB" w:eastAsia="nb-NO"/>
        </w:rPr>
        <w:t xml:space="preserve">experience that </w:t>
      </w:r>
      <w:r w:rsidR="00034E03" w:rsidRPr="00347524">
        <w:rPr>
          <w:rFonts w:eastAsia="Times New Roman" w:cs="Times New Roman"/>
          <w:shd w:val="clear" w:color="auto" w:fill="FFFFFF"/>
          <w:lang w:val="en-GB" w:eastAsia="nb-NO"/>
        </w:rPr>
        <w:t>foreign</w:t>
      </w:r>
      <w:r w:rsidRPr="00347524">
        <w:rPr>
          <w:rFonts w:eastAsia="Times New Roman" w:cs="Times New Roman"/>
          <w:shd w:val="clear" w:color="auto" w:fill="FFFFFF"/>
          <w:lang w:val="en-GB" w:eastAsia="nb-NO"/>
        </w:rPr>
        <w:t xml:space="preserve"> clients lack awareness of their </w:t>
      </w:r>
      <w:r w:rsidR="003F3DDE" w:rsidRPr="00347524">
        <w:rPr>
          <w:rFonts w:eastAsia="Times New Roman" w:cs="Times New Roman"/>
          <w:shd w:val="clear" w:color="auto" w:fill="FFFFFF"/>
          <w:lang w:val="en-GB" w:eastAsia="nb-NO"/>
        </w:rPr>
        <w:t>rights and</w:t>
      </w:r>
      <w:r w:rsidRPr="00347524">
        <w:rPr>
          <w:rFonts w:eastAsia="Times New Roman" w:cs="Times New Roman"/>
          <w:shd w:val="clear" w:color="auto" w:fill="FFFFFF"/>
          <w:lang w:val="en-GB" w:eastAsia="nb-NO"/>
        </w:rPr>
        <w:t xml:space="preserve"> that language barriers makes it difficult for them to acquire </w:t>
      </w:r>
      <w:r w:rsidR="002F31B8" w:rsidRPr="00347524">
        <w:rPr>
          <w:rFonts w:eastAsia="Times New Roman" w:cs="Times New Roman"/>
          <w:shd w:val="clear" w:color="auto" w:fill="FFFFFF"/>
          <w:lang w:val="en-GB" w:eastAsia="nb-NO"/>
        </w:rPr>
        <w:t>relevant</w:t>
      </w:r>
      <w:r w:rsidRPr="00347524">
        <w:rPr>
          <w:rFonts w:eastAsia="Times New Roman" w:cs="Times New Roman"/>
          <w:shd w:val="clear" w:color="auto" w:fill="FFFFFF"/>
          <w:lang w:val="en-GB" w:eastAsia="nb-NO"/>
        </w:rPr>
        <w:t xml:space="preserve"> information.</w:t>
      </w:r>
    </w:p>
    <w:p w:rsidR="00FE1D2C" w:rsidRPr="00347524" w:rsidRDefault="00111E92" w:rsidP="003C49B8">
      <w:pPr>
        <w:spacing w:line="240" w:lineRule="auto"/>
        <w:rPr>
          <w:rFonts w:eastAsia="Times New Roman" w:cs="Times New Roman"/>
          <w:b/>
          <w:shd w:val="clear" w:color="auto" w:fill="FFFFFF"/>
          <w:lang w:val="en-GB" w:eastAsia="nb-NO"/>
        </w:rPr>
      </w:pPr>
      <w:r w:rsidRPr="00347524">
        <w:rPr>
          <w:rFonts w:eastAsia="Times New Roman" w:cs="Times New Roman"/>
          <w:b/>
          <w:shd w:val="clear" w:color="auto" w:fill="FFFFFF"/>
          <w:lang w:val="en-GB" w:eastAsia="nb-NO"/>
        </w:rPr>
        <w:t>Recommendation</w:t>
      </w:r>
      <w:r w:rsidR="00FE1D2C" w:rsidRPr="00347524">
        <w:rPr>
          <w:rFonts w:eastAsia="Times New Roman" w:cs="Times New Roman"/>
          <w:b/>
          <w:shd w:val="clear" w:color="auto" w:fill="FFFFFF"/>
          <w:lang w:val="en-GB" w:eastAsia="nb-NO"/>
        </w:rPr>
        <w:t>:</w:t>
      </w:r>
    </w:p>
    <w:p w:rsidR="00BA02C2" w:rsidRPr="00347524" w:rsidRDefault="00BA02C2" w:rsidP="003C49B8">
      <w:pPr>
        <w:pStyle w:val="Listeavsnitt"/>
        <w:numPr>
          <w:ilvl w:val="0"/>
          <w:numId w:val="36"/>
        </w:numPr>
        <w:spacing w:line="240" w:lineRule="auto"/>
        <w:rPr>
          <w:lang w:val="en-GB"/>
        </w:rPr>
      </w:pPr>
      <w:r w:rsidRPr="00347524">
        <w:rPr>
          <w:rFonts w:eastAsia="Times New Roman" w:cs="Times New Roman"/>
          <w:shd w:val="clear" w:color="auto" w:fill="FFFFFF"/>
          <w:lang w:val="en-GB" w:eastAsia="nb-NO"/>
        </w:rPr>
        <w:t>Put in place m</w:t>
      </w:r>
      <w:r w:rsidR="00E95041" w:rsidRPr="00347524">
        <w:rPr>
          <w:rFonts w:eastAsia="Times New Roman" w:cs="Times New Roman"/>
          <w:shd w:val="clear" w:color="auto" w:fill="FFFFFF"/>
          <w:lang w:val="en-GB" w:eastAsia="nb-NO"/>
        </w:rPr>
        <w:t xml:space="preserve">easures </w:t>
      </w:r>
      <w:r w:rsidR="002744E5" w:rsidRPr="00347524">
        <w:rPr>
          <w:rFonts w:eastAsia="Times New Roman" w:cs="Times New Roman"/>
          <w:shd w:val="clear" w:color="auto" w:fill="FFFFFF"/>
          <w:lang w:val="en-GB" w:eastAsia="nb-NO"/>
        </w:rPr>
        <w:t xml:space="preserve">to </w:t>
      </w:r>
      <w:r w:rsidR="00E95041" w:rsidRPr="00347524">
        <w:rPr>
          <w:rFonts w:eastAsia="Times New Roman" w:cs="Times New Roman"/>
          <w:shd w:val="clear" w:color="auto" w:fill="FFFFFF"/>
          <w:lang w:val="en-GB" w:eastAsia="nb-NO"/>
        </w:rPr>
        <w:t xml:space="preserve">relieve the challenges </w:t>
      </w:r>
      <w:r w:rsidR="00EE33ED" w:rsidRPr="00347524">
        <w:rPr>
          <w:rFonts w:eastAsia="Times New Roman" w:cs="Times New Roman"/>
          <w:shd w:val="clear" w:color="auto" w:fill="FFFFFF"/>
          <w:lang w:val="en-GB" w:eastAsia="nb-NO"/>
        </w:rPr>
        <w:t>that people with foreign origin experience</w:t>
      </w:r>
      <w:r w:rsidR="00E721CA" w:rsidRPr="00347524">
        <w:rPr>
          <w:rFonts w:eastAsia="Times New Roman" w:cs="Times New Roman"/>
          <w:shd w:val="clear" w:color="auto" w:fill="FFFFFF"/>
          <w:lang w:val="en-GB" w:eastAsia="nb-NO"/>
        </w:rPr>
        <w:t xml:space="preserve"> </w:t>
      </w:r>
      <w:r w:rsidR="003F3DDE" w:rsidRPr="00347524">
        <w:rPr>
          <w:rFonts w:eastAsia="Times New Roman" w:cs="Times New Roman"/>
          <w:shd w:val="clear" w:color="auto" w:fill="FFFFFF"/>
          <w:lang w:val="en-GB" w:eastAsia="nb-NO"/>
        </w:rPr>
        <w:t>in</w:t>
      </w:r>
      <w:r w:rsidR="00E95041" w:rsidRPr="00347524">
        <w:rPr>
          <w:rFonts w:eastAsia="Times New Roman" w:cs="Times New Roman"/>
          <w:shd w:val="clear" w:color="auto" w:fill="FFFFFF"/>
          <w:lang w:val="en-GB" w:eastAsia="nb-NO"/>
        </w:rPr>
        <w:t xml:space="preserve"> the tenancy marked</w:t>
      </w:r>
      <w:r w:rsidR="002744E5" w:rsidRPr="00347524">
        <w:rPr>
          <w:rFonts w:eastAsia="Times New Roman" w:cs="Times New Roman"/>
          <w:shd w:val="clear" w:color="auto" w:fill="FFFFFF"/>
          <w:lang w:val="en-GB" w:eastAsia="nb-NO"/>
        </w:rPr>
        <w:t>, including</w:t>
      </w:r>
      <w:r w:rsidR="00034E03" w:rsidRPr="00347524">
        <w:rPr>
          <w:rFonts w:eastAsia="Times New Roman" w:cs="Times New Roman"/>
          <w:shd w:val="clear" w:color="auto" w:fill="FFFFFF"/>
          <w:lang w:val="en-GB" w:eastAsia="nb-NO"/>
        </w:rPr>
        <w:t>:</w:t>
      </w:r>
    </w:p>
    <w:p w:rsidR="00EE33ED" w:rsidRPr="00347524" w:rsidRDefault="00BA02C2" w:rsidP="003C49B8">
      <w:pPr>
        <w:pStyle w:val="Listeavsnitt"/>
        <w:numPr>
          <w:ilvl w:val="1"/>
          <w:numId w:val="36"/>
        </w:numPr>
        <w:spacing w:line="240" w:lineRule="auto"/>
        <w:rPr>
          <w:lang w:val="en-GB"/>
        </w:rPr>
      </w:pPr>
      <w:r w:rsidRPr="00347524">
        <w:rPr>
          <w:rFonts w:eastAsia="Times New Roman" w:cs="Times New Roman"/>
          <w:shd w:val="clear" w:color="auto" w:fill="FFFFFF"/>
          <w:lang w:val="en-GB" w:eastAsia="nb-NO"/>
        </w:rPr>
        <w:t>I</w:t>
      </w:r>
      <w:r w:rsidR="002744E5" w:rsidRPr="00347524">
        <w:rPr>
          <w:rFonts w:eastAsia="Times New Roman" w:cs="Times New Roman"/>
          <w:shd w:val="clear" w:color="auto" w:fill="FFFFFF"/>
          <w:lang w:val="en-GB" w:eastAsia="nb-NO"/>
        </w:rPr>
        <w:t xml:space="preserve">nforming them about their rights </w:t>
      </w:r>
      <w:r w:rsidR="008C155D" w:rsidRPr="00347524">
        <w:rPr>
          <w:rFonts w:eastAsia="Times New Roman" w:cs="Times New Roman"/>
          <w:shd w:val="clear" w:color="auto" w:fill="FFFFFF"/>
          <w:lang w:val="en-GB" w:eastAsia="nb-NO"/>
        </w:rPr>
        <w:t>in a language that they understand</w:t>
      </w:r>
      <w:r w:rsidRPr="00347524">
        <w:rPr>
          <w:rFonts w:eastAsia="Times New Roman" w:cs="Times New Roman"/>
          <w:shd w:val="clear" w:color="auto" w:fill="FFFFFF"/>
          <w:lang w:val="en-GB" w:eastAsia="nb-NO"/>
        </w:rPr>
        <w:t>;</w:t>
      </w:r>
    </w:p>
    <w:p w:rsidR="00BA02C2" w:rsidRPr="00347524" w:rsidRDefault="00BA02C2" w:rsidP="003C49B8">
      <w:pPr>
        <w:pStyle w:val="Listeavsnitt"/>
        <w:numPr>
          <w:ilvl w:val="1"/>
          <w:numId w:val="36"/>
        </w:numPr>
        <w:spacing w:line="240" w:lineRule="auto"/>
        <w:rPr>
          <w:lang w:val="en-GB"/>
        </w:rPr>
      </w:pPr>
      <w:r w:rsidRPr="00347524">
        <w:rPr>
          <w:rFonts w:eastAsia="Times New Roman" w:cs="Times New Roman"/>
          <w:shd w:val="clear" w:color="auto" w:fill="FFFFFF"/>
          <w:lang w:val="en-GB" w:eastAsia="nb-NO"/>
        </w:rPr>
        <w:t>Informing them about the possibilities to complain on discrimination in the tenancy marke</w:t>
      </w:r>
      <w:r w:rsidR="00034E03" w:rsidRPr="00347524">
        <w:rPr>
          <w:rFonts w:eastAsia="Times New Roman" w:cs="Times New Roman"/>
          <w:shd w:val="clear" w:color="auto" w:fill="FFFFFF"/>
          <w:lang w:val="en-GB" w:eastAsia="nb-NO"/>
        </w:rPr>
        <w:t>t</w:t>
      </w:r>
      <w:r w:rsidRPr="00347524">
        <w:rPr>
          <w:rFonts w:eastAsia="Times New Roman" w:cs="Times New Roman"/>
          <w:shd w:val="clear" w:color="auto" w:fill="FFFFFF"/>
          <w:lang w:val="en-GB" w:eastAsia="nb-NO"/>
        </w:rPr>
        <w:t xml:space="preserve"> to the Equality and anti-</w:t>
      </w:r>
      <w:r w:rsidR="00034E03" w:rsidRPr="00347524">
        <w:rPr>
          <w:rFonts w:eastAsia="Times New Roman" w:cs="Times New Roman"/>
          <w:shd w:val="clear" w:color="auto" w:fill="FFFFFF"/>
          <w:lang w:val="en-GB" w:eastAsia="nb-NO"/>
        </w:rPr>
        <w:t>d</w:t>
      </w:r>
      <w:r w:rsidRPr="00347524">
        <w:rPr>
          <w:rFonts w:eastAsia="Times New Roman" w:cs="Times New Roman"/>
          <w:shd w:val="clear" w:color="auto" w:fill="FFFFFF"/>
          <w:lang w:val="en-GB" w:eastAsia="nb-NO"/>
        </w:rPr>
        <w:t>iscrimination Ombud</w:t>
      </w:r>
      <w:r w:rsidR="003F3DDE" w:rsidRPr="00347524">
        <w:rPr>
          <w:rFonts w:eastAsia="Times New Roman" w:cs="Times New Roman"/>
          <w:shd w:val="clear" w:color="auto" w:fill="FFFFFF"/>
          <w:lang w:val="en-GB" w:eastAsia="nb-NO"/>
        </w:rPr>
        <w:t>sman</w:t>
      </w:r>
      <w:r w:rsidR="00034E03" w:rsidRPr="00347524">
        <w:rPr>
          <w:rFonts w:eastAsia="Times New Roman" w:cs="Times New Roman"/>
          <w:shd w:val="clear" w:color="auto" w:fill="FFFFFF"/>
          <w:lang w:val="en-GB" w:eastAsia="nb-NO"/>
        </w:rPr>
        <w:t>.</w:t>
      </w:r>
    </w:p>
    <w:p w:rsidR="00EE33ED" w:rsidRPr="008C5695" w:rsidRDefault="00347524" w:rsidP="00347524">
      <w:pPr>
        <w:pStyle w:val="Overskrift1"/>
        <w:spacing w:before="0" w:line="240" w:lineRule="auto"/>
        <w:rPr>
          <w:rFonts w:asciiTheme="minorHAnsi" w:hAnsiTheme="minorHAnsi"/>
          <w:color w:val="1F497D" w:themeColor="text2"/>
          <w:szCs w:val="22"/>
          <w:lang w:val="en-GB"/>
        </w:rPr>
      </w:pPr>
      <w:bookmarkStart w:id="4" w:name="_Toc508351734"/>
      <w:r w:rsidRPr="008C5695">
        <w:rPr>
          <w:rFonts w:asciiTheme="minorHAnsi" w:hAnsiTheme="minorHAnsi"/>
          <w:color w:val="1F497D" w:themeColor="text2"/>
          <w:lang w:val="en-GB"/>
        </w:rPr>
        <w:t>9</w:t>
      </w:r>
      <w:r w:rsidRPr="008C5695">
        <w:rPr>
          <w:rFonts w:asciiTheme="minorHAnsi" w:hAnsiTheme="minorHAnsi"/>
          <w:color w:val="1F497D" w:themeColor="text2"/>
          <w:szCs w:val="22"/>
          <w:lang w:val="en-GB"/>
        </w:rPr>
        <w:t xml:space="preserve"> </w:t>
      </w:r>
      <w:r w:rsidRPr="008C5695">
        <w:rPr>
          <w:rFonts w:asciiTheme="minorHAnsi" w:hAnsiTheme="minorHAnsi"/>
          <w:color w:val="1F497D" w:themeColor="text2"/>
          <w:szCs w:val="22"/>
          <w:lang w:val="en-GB"/>
        </w:rPr>
        <w:t>Violence against women (arts. 3, 7 and 26)</w:t>
      </w:r>
      <w:bookmarkEnd w:id="4"/>
      <w:r w:rsidRPr="008C5695">
        <w:rPr>
          <w:rFonts w:asciiTheme="minorHAnsi" w:hAnsiTheme="minorHAnsi"/>
          <w:color w:val="1F497D" w:themeColor="text2"/>
          <w:szCs w:val="22"/>
          <w:lang w:val="en-GB"/>
        </w:rPr>
        <w:t xml:space="preserve"> </w:t>
      </w:r>
    </w:p>
    <w:p w:rsidR="00347524" w:rsidRPr="00347524" w:rsidRDefault="00347524" w:rsidP="00347524">
      <w:pPr>
        <w:rPr>
          <w:lang w:val="en-GB"/>
        </w:rPr>
      </w:pPr>
    </w:p>
    <w:p w:rsidR="00E667DA" w:rsidRPr="00347524" w:rsidRDefault="00E667DA" w:rsidP="003C49B8">
      <w:pPr>
        <w:spacing w:line="240" w:lineRule="auto"/>
        <w:rPr>
          <w:lang w:val="en-GB"/>
        </w:rPr>
      </w:pPr>
      <w:r w:rsidRPr="00347524">
        <w:rPr>
          <w:lang w:val="en-GB"/>
        </w:rPr>
        <w:t>Gender-based violence against women in Norway, including rape and other sexual violence, overwhelmingly</w:t>
      </w:r>
      <w:r w:rsidR="003A663F" w:rsidRPr="00347524">
        <w:rPr>
          <w:lang w:val="en-GB"/>
        </w:rPr>
        <w:t xml:space="preserve"> committed</w:t>
      </w:r>
      <w:r w:rsidRPr="00347524">
        <w:rPr>
          <w:lang w:val="en-GB"/>
        </w:rPr>
        <w:t xml:space="preserve"> by non-state actors but with the state failing to adequately exercise its due diligence obligations, remains a serious and prevalent violation of women’s rights, including as protected under the Covenant. A recent prevalence study of rape shows that almost one in ten women have been a victim of rape.</w:t>
      </w:r>
      <w:r w:rsidRPr="00347524">
        <w:rPr>
          <w:rStyle w:val="Fotnotereferanse"/>
          <w:lang w:val="en-GB"/>
        </w:rPr>
        <w:footnoteReference w:id="7"/>
      </w:r>
      <w:r w:rsidRPr="00347524">
        <w:rPr>
          <w:lang w:val="en-GB"/>
        </w:rPr>
        <w:t xml:space="preserve"> Nearly half of the respondents were subjected to rape before the age of 18. The prevalence of rape has not decreased over time, as younger women do not report fewer incidents compared to older women. Only one in ten female rape victims reported rape to the police.</w:t>
      </w:r>
    </w:p>
    <w:p w:rsidR="00E667DA" w:rsidRPr="00347524" w:rsidRDefault="00E667DA" w:rsidP="003C49B8">
      <w:pPr>
        <w:spacing w:line="240" w:lineRule="auto"/>
        <w:rPr>
          <w:lang w:val="en-GB"/>
        </w:rPr>
      </w:pPr>
      <w:r w:rsidRPr="00347524">
        <w:rPr>
          <w:lang w:val="en-GB"/>
        </w:rPr>
        <w:t>The number of rape cases reported to the police has increased steadily over the years. Statistics from the National Police Directorate show that 1,663 cases of rape were reported to the police in 2016. This is an increase of nearly 22% from 2015.</w:t>
      </w:r>
      <w:r w:rsidRPr="00347524">
        <w:rPr>
          <w:rStyle w:val="Fotnotereferanse"/>
          <w:lang w:val="en-GB"/>
        </w:rPr>
        <w:footnoteReference w:id="8"/>
      </w:r>
      <w:r w:rsidRPr="00347524">
        <w:rPr>
          <w:lang w:val="en-GB"/>
        </w:rPr>
        <w:t xml:space="preserve"> </w:t>
      </w:r>
    </w:p>
    <w:p w:rsidR="00E667DA" w:rsidRPr="00347524" w:rsidRDefault="00E667DA" w:rsidP="003C49B8">
      <w:pPr>
        <w:spacing w:line="240" w:lineRule="auto"/>
        <w:rPr>
          <w:lang w:val="en-GB"/>
        </w:rPr>
      </w:pPr>
      <w:r w:rsidRPr="00347524">
        <w:rPr>
          <w:lang w:val="en-GB"/>
        </w:rPr>
        <w:t>Around 80% of reported rape cases are closed by the police and never reach the courts.</w:t>
      </w:r>
      <w:r w:rsidRPr="00347524">
        <w:rPr>
          <w:rStyle w:val="Fotnotereferanse"/>
          <w:lang w:val="en-GB"/>
        </w:rPr>
        <w:footnoteReference w:id="9"/>
      </w:r>
      <w:r w:rsidRPr="00347524">
        <w:rPr>
          <w:lang w:val="en-GB"/>
        </w:rPr>
        <w:t xml:space="preserve"> Weaknesses in police investigations contribute to the low level of prosecution. Norway’s Director of Public Prosecutions recently reviewed the quality of investigations in 275 nationally reported rape cases.</w:t>
      </w:r>
      <w:r w:rsidRPr="00347524">
        <w:rPr>
          <w:rStyle w:val="Fotnotereferanse"/>
          <w:lang w:val="en-GB"/>
        </w:rPr>
        <w:footnoteReference w:id="10"/>
      </w:r>
      <w:r w:rsidRPr="00347524">
        <w:rPr>
          <w:lang w:val="en-GB"/>
        </w:rPr>
        <w:t xml:space="preserve"> The review pointed especially at weaknesses in the initial phase, where necessary steps to secure evidence are not always taken.</w:t>
      </w:r>
    </w:p>
    <w:p w:rsidR="00E667DA" w:rsidRPr="00347524" w:rsidRDefault="00E667DA" w:rsidP="003C49B8">
      <w:pPr>
        <w:spacing w:line="240" w:lineRule="auto"/>
        <w:rPr>
          <w:lang w:val="en-GB"/>
        </w:rPr>
      </w:pPr>
      <w:r w:rsidRPr="00347524">
        <w:rPr>
          <w:lang w:val="en-GB"/>
        </w:rPr>
        <w:t>According to a 2014 survey, one in ten judges agree with statements such as</w:t>
      </w:r>
      <w:r w:rsidR="0071790F" w:rsidRPr="00347524">
        <w:rPr>
          <w:lang w:val="en-GB"/>
        </w:rPr>
        <w:t>,</w:t>
      </w:r>
      <w:r w:rsidRPr="00347524">
        <w:rPr>
          <w:lang w:val="en-GB"/>
        </w:rPr>
        <w:t xml:space="preserve"> "Many women report falsely because they regret having had sex" and "Any woman who arouses a man sexually but who does not really want sex must accept the consequences”.</w:t>
      </w:r>
      <w:r w:rsidRPr="00347524">
        <w:rPr>
          <w:rStyle w:val="Fotnotereferanse"/>
          <w:lang w:val="en-GB"/>
        </w:rPr>
        <w:footnoteReference w:id="11"/>
      </w:r>
      <w:r w:rsidRPr="00347524">
        <w:rPr>
          <w:lang w:val="en-GB"/>
        </w:rPr>
        <w:t xml:space="preserve"> Such attitudes may result in judgments in rape cases being affected by prejudice and perceptions of “morality”, rather than being based on</w:t>
      </w:r>
      <w:r w:rsidR="00D44794" w:rsidRPr="00347524">
        <w:rPr>
          <w:lang w:val="en-GB"/>
        </w:rPr>
        <w:t xml:space="preserve"> </w:t>
      </w:r>
      <w:r w:rsidRPr="00347524">
        <w:rPr>
          <w:lang w:val="en-GB"/>
        </w:rPr>
        <w:t>objective assessment</w:t>
      </w:r>
      <w:r w:rsidR="00D44794" w:rsidRPr="00347524">
        <w:rPr>
          <w:lang w:val="en-GB"/>
        </w:rPr>
        <w:t xml:space="preserve"> </w:t>
      </w:r>
      <w:r w:rsidRPr="00347524">
        <w:rPr>
          <w:lang w:val="en-GB"/>
        </w:rPr>
        <w:t>of the facts</w:t>
      </w:r>
      <w:r w:rsidR="00D44794" w:rsidRPr="00347524">
        <w:rPr>
          <w:lang w:val="en-GB"/>
        </w:rPr>
        <w:t xml:space="preserve"> and </w:t>
      </w:r>
      <w:r w:rsidRPr="00347524">
        <w:rPr>
          <w:lang w:val="en-GB"/>
        </w:rPr>
        <w:t>can be a contributing factor to acquittals.</w:t>
      </w:r>
      <w:r w:rsidRPr="00347524">
        <w:rPr>
          <w:rStyle w:val="Fotnotereferanse"/>
          <w:lang w:val="en-GB"/>
        </w:rPr>
        <w:footnoteReference w:id="12"/>
      </w:r>
      <w:r w:rsidRPr="00347524">
        <w:rPr>
          <w:lang w:val="en-GB"/>
        </w:rPr>
        <w:t xml:space="preserve"> In Norway, 30% or almost every third rape case ends with an acquittal in court, while the acquittal rate is 6.7</w:t>
      </w:r>
      <w:r w:rsidR="00BA02C2" w:rsidRPr="00347524">
        <w:rPr>
          <w:lang w:val="en-GB"/>
        </w:rPr>
        <w:t>%</w:t>
      </w:r>
      <w:r w:rsidRPr="00347524">
        <w:rPr>
          <w:lang w:val="en-GB"/>
        </w:rPr>
        <w:t xml:space="preserve"> in other cases of violent crimes.</w:t>
      </w:r>
      <w:r w:rsidRPr="00347524">
        <w:rPr>
          <w:rStyle w:val="Fotnotereferanse"/>
          <w:lang w:val="en-GB"/>
        </w:rPr>
        <w:footnoteReference w:id="13"/>
      </w:r>
    </w:p>
    <w:p w:rsidR="00E667DA" w:rsidRPr="00347524" w:rsidRDefault="00E667DA" w:rsidP="003C49B8">
      <w:pPr>
        <w:spacing w:line="240" w:lineRule="auto"/>
        <w:rPr>
          <w:lang w:val="en-GB"/>
        </w:rPr>
      </w:pPr>
      <w:r w:rsidRPr="00347524">
        <w:rPr>
          <w:lang w:val="en-GB"/>
        </w:rPr>
        <w:t xml:space="preserve">Despite several recommendations </w:t>
      </w:r>
      <w:r w:rsidR="0071790F" w:rsidRPr="00347524">
        <w:rPr>
          <w:lang w:val="en-GB"/>
        </w:rPr>
        <w:t xml:space="preserve">made </w:t>
      </w:r>
      <w:r w:rsidRPr="00347524">
        <w:rPr>
          <w:lang w:val="en-GB"/>
        </w:rPr>
        <w:t>by UN treaty bodies to Norwegian authorities</w:t>
      </w:r>
      <w:r w:rsidR="00BA02C2" w:rsidRPr="00347524">
        <w:rPr>
          <w:lang w:val="en-GB"/>
        </w:rPr>
        <w:t>,</w:t>
      </w:r>
      <w:r w:rsidRPr="00347524">
        <w:rPr>
          <w:rStyle w:val="Fotnotereferanse"/>
          <w:lang w:val="en-GB"/>
        </w:rPr>
        <w:footnoteReference w:id="14"/>
      </w:r>
      <w:r w:rsidRPr="00347524">
        <w:rPr>
          <w:lang w:val="en-GB"/>
        </w:rPr>
        <w:t xml:space="preserve"> the definition of rape in the Penal Code is still not centred on the lack of consent. Consequently, many cases of rape remain unpunished. According to the National Criminal Investigation Service </w:t>
      </w:r>
      <w:r w:rsidR="00BA02C2" w:rsidRPr="00347524">
        <w:rPr>
          <w:lang w:val="en-GB"/>
        </w:rPr>
        <w:t>(</w:t>
      </w:r>
      <w:r w:rsidRPr="00347524">
        <w:rPr>
          <w:lang w:val="en-GB"/>
        </w:rPr>
        <w:t>KRIPOS</w:t>
      </w:r>
      <w:r w:rsidR="00BA02C2" w:rsidRPr="00347524">
        <w:rPr>
          <w:lang w:val="en-GB"/>
        </w:rPr>
        <w:t>)</w:t>
      </w:r>
      <w:r w:rsidRPr="00347524">
        <w:rPr>
          <w:lang w:val="en-GB"/>
        </w:rPr>
        <w:t xml:space="preserve"> </w:t>
      </w:r>
      <w:r w:rsidR="00D44794" w:rsidRPr="00347524">
        <w:rPr>
          <w:lang w:val="en-GB"/>
        </w:rPr>
        <w:t xml:space="preserve">especially </w:t>
      </w:r>
      <w:r w:rsidRPr="00347524">
        <w:rPr>
          <w:lang w:val="en-GB"/>
        </w:rPr>
        <w:t xml:space="preserve">party-related rape cases </w:t>
      </w:r>
      <w:r w:rsidR="0071790F" w:rsidRPr="00347524">
        <w:rPr>
          <w:lang w:val="en-GB"/>
        </w:rPr>
        <w:t xml:space="preserve">that </w:t>
      </w:r>
      <w:r w:rsidRPr="00347524">
        <w:rPr>
          <w:lang w:val="en-GB"/>
        </w:rPr>
        <w:t>involve situations falling outside the scope of the present legal definition of rape</w:t>
      </w:r>
      <w:r w:rsidR="00D44794" w:rsidRPr="00347524">
        <w:rPr>
          <w:lang w:val="en-GB"/>
        </w:rPr>
        <w:t xml:space="preserve"> </w:t>
      </w:r>
      <w:r w:rsidR="0071790F" w:rsidRPr="00347524">
        <w:rPr>
          <w:lang w:val="en-GB"/>
        </w:rPr>
        <w:t>go unpunished.</w:t>
      </w:r>
      <w:r w:rsidR="00D44794" w:rsidRPr="00347524">
        <w:rPr>
          <w:rStyle w:val="Fotnotereferanse"/>
          <w:lang w:val="en-GB"/>
        </w:rPr>
        <w:footnoteReference w:id="15"/>
      </w:r>
    </w:p>
    <w:p w:rsidR="00E667DA" w:rsidRPr="00347524" w:rsidRDefault="00E667DA" w:rsidP="003C49B8">
      <w:pPr>
        <w:spacing w:line="240" w:lineRule="auto"/>
        <w:rPr>
          <w:b/>
          <w:lang w:val="en-GB"/>
        </w:rPr>
      </w:pPr>
      <w:r w:rsidRPr="00347524">
        <w:rPr>
          <w:b/>
          <w:lang w:val="en-GB"/>
        </w:rPr>
        <w:t xml:space="preserve">Recommendations: </w:t>
      </w:r>
    </w:p>
    <w:p w:rsidR="00E667DA" w:rsidRPr="00347524" w:rsidRDefault="00E667DA" w:rsidP="003C49B8">
      <w:pPr>
        <w:pStyle w:val="Listeavsnitt"/>
        <w:numPr>
          <w:ilvl w:val="0"/>
          <w:numId w:val="49"/>
        </w:numPr>
        <w:spacing w:line="240" w:lineRule="auto"/>
        <w:rPr>
          <w:lang w:val="en-GB"/>
        </w:rPr>
      </w:pPr>
      <w:r w:rsidRPr="00347524">
        <w:rPr>
          <w:lang w:val="en-GB"/>
        </w:rPr>
        <w:t>Put in place comprehensive measures to prevent and address violence against women and girls, including rape and other sexual violence, and ensure that all complaints and other reports of gender-based violence are promptly, thoroughly and effectively investigated</w:t>
      </w:r>
      <w:r w:rsidR="00AC07A9" w:rsidRPr="00347524">
        <w:rPr>
          <w:lang w:val="en-GB"/>
        </w:rPr>
        <w:t xml:space="preserve">. </w:t>
      </w:r>
      <w:r w:rsidR="005B5D24" w:rsidRPr="00347524">
        <w:rPr>
          <w:lang w:val="en-GB"/>
        </w:rPr>
        <w:t>In cases w</w:t>
      </w:r>
      <w:r w:rsidRPr="00347524">
        <w:rPr>
          <w:lang w:val="en-GB"/>
        </w:rPr>
        <w:t>here sufficient</w:t>
      </w:r>
      <w:r w:rsidR="005B5D24" w:rsidRPr="00347524">
        <w:rPr>
          <w:lang w:val="en-GB"/>
        </w:rPr>
        <w:t xml:space="preserve"> and </w:t>
      </w:r>
      <w:r w:rsidRPr="00347524">
        <w:rPr>
          <w:lang w:val="en-GB"/>
        </w:rPr>
        <w:t xml:space="preserve">admissible evidence is </w:t>
      </w:r>
      <w:r w:rsidR="005B5D24" w:rsidRPr="00347524">
        <w:rPr>
          <w:lang w:val="en-GB"/>
        </w:rPr>
        <w:t>obtained, ensure that</w:t>
      </w:r>
      <w:r w:rsidRPr="00347524">
        <w:rPr>
          <w:lang w:val="en-GB"/>
        </w:rPr>
        <w:t xml:space="preserve"> perpetrators are prosecuted and punished commensurate with the gravity of their crimes</w:t>
      </w:r>
      <w:r w:rsidR="005B5D24" w:rsidRPr="00347524">
        <w:rPr>
          <w:lang w:val="en-GB"/>
        </w:rPr>
        <w:t xml:space="preserve"> </w:t>
      </w:r>
      <w:r w:rsidRPr="00347524">
        <w:rPr>
          <w:lang w:val="en-GB"/>
        </w:rPr>
        <w:t>through, inter alia:</w:t>
      </w:r>
    </w:p>
    <w:p w:rsidR="00E667DA" w:rsidRPr="00347524" w:rsidRDefault="00E667DA" w:rsidP="003C49B8">
      <w:pPr>
        <w:pStyle w:val="Listeavsnitt"/>
        <w:numPr>
          <w:ilvl w:val="0"/>
          <w:numId w:val="47"/>
        </w:numPr>
        <w:spacing w:after="0" w:line="240" w:lineRule="auto"/>
        <w:rPr>
          <w:lang w:val="en-GB"/>
        </w:rPr>
      </w:pPr>
      <w:r w:rsidRPr="00347524">
        <w:rPr>
          <w:lang w:val="en-GB"/>
        </w:rPr>
        <w:t xml:space="preserve">Urgently adopting a legal definition of rape in the Penal Code which places the absence of consent at its centre. Consent must be given voluntarily as the result of </w:t>
      </w:r>
      <w:r w:rsidR="00AC07A9" w:rsidRPr="00347524">
        <w:rPr>
          <w:lang w:val="en-GB"/>
        </w:rPr>
        <w:t xml:space="preserve">a </w:t>
      </w:r>
      <w:r w:rsidRPr="00347524">
        <w:rPr>
          <w:lang w:val="en-GB"/>
        </w:rPr>
        <w:t>person’s free will</w:t>
      </w:r>
      <w:r w:rsidR="00AC07A9" w:rsidRPr="00347524">
        <w:rPr>
          <w:lang w:val="en-GB"/>
        </w:rPr>
        <w:t>,</w:t>
      </w:r>
      <w:r w:rsidRPr="00347524">
        <w:rPr>
          <w:lang w:val="en-GB"/>
        </w:rPr>
        <w:t xml:space="preserve"> assessed in the context of the surrounding circumstances</w:t>
      </w:r>
      <w:r w:rsidR="00BA02C2" w:rsidRPr="00347524">
        <w:rPr>
          <w:lang w:val="en-GB"/>
        </w:rPr>
        <w:t>;</w:t>
      </w:r>
    </w:p>
    <w:p w:rsidR="00E667DA" w:rsidRPr="00347524" w:rsidRDefault="00E667DA" w:rsidP="003C49B8">
      <w:pPr>
        <w:pStyle w:val="Listeavsnitt"/>
        <w:numPr>
          <w:ilvl w:val="0"/>
          <w:numId w:val="47"/>
        </w:numPr>
        <w:spacing w:after="0" w:line="240" w:lineRule="auto"/>
        <w:rPr>
          <w:lang w:val="en-GB"/>
        </w:rPr>
      </w:pPr>
      <w:r w:rsidRPr="00347524">
        <w:rPr>
          <w:lang w:val="en-GB"/>
        </w:rPr>
        <w:t>Training judges about gender-based violence against women, including rape and sexual violence;</w:t>
      </w:r>
    </w:p>
    <w:p w:rsidR="00E667DA" w:rsidRPr="00347524" w:rsidRDefault="00E667DA" w:rsidP="003C49B8">
      <w:pPr>
        <w:pStyle w:val="Listeavsnitt"/>
        <w:numPr>
          <w:ilvl w:val="0"/>
          <w:numId w:val="47"/>
        </w:numPr>
        <w:spacing w:after="0" w:line="240" w:lineRule="auto"/>
        <w:rPr>
          <w:lang w:val="en-GB"/>
        </w:rPr>
      </w:pPr>
      <w:r w:rsidRPr="00347524">
        <w:rPr>
          <w:lang w:val="en-GB"/>
        </w:rPr>
        <w:t>Strengthening the investigative capacity of police and prosecutors in all forms of gender-based violence;</w:t>
      </w:r>
    </w:p>
    <w:p w:rsidR="00E667DA" w:rsidRPr="00347524" w:rsidRDefault="00E667DA" w:rsidP="003C49B8">
      <w:pPr>
        <w:pStyle w:val="Listeavsnitt"/>
        <w:numPr>
          <w:ilvl w:val="0"/>
          <w:numId w:val="47"/>
        </w:numPr>
        <w:spacing w:after="0" w:line="240" w:lineRule="auto"/>
        <w:rPr>
          <w:lang w:val="en-GB"/>
        </w:rPr>
      </w:pPr>
      <w:r w:rsidRPr="00347524">
        <w:rPr>
          <w:lang w:val="en-GB"/>
        </w:rPr>
        <w:t>Adopting an up-to-date National Plan of Action against Rape and Sexual Violence following meaningful consultations, including with survivors, experts and civil society.</w:t>
      </w:r>
    </w:p>
    <w:p w:rsidR="00D50AC6" w:rsidRPr="00347524" w:rsidRDefault="00D50AC6" w:rsidP="003C49B8">
      <w:pPr>
        <w:spacing w:line="240" w:lineRule="auto"/>
        <w:rPr>
          <w:rFonts w:eastAsia="Times New Roman" w:cs="Times New Roman"/>
          <w:shd w:val="clear" w:color="auto" w:fill="FFFFFF"/>
          <w:lang w:val="en-GB" w:eastAsia="nb-NO"/>
        </w:rPr>
      </w:pPr>
    </w:p>
    <w:p w:rsidR="009C1276" w:rsidRPr="00347524" w:rsidRDefault="009C1276" w:rsidP="003C49B8">
      <w:pPr>
        <w:spacing w:line="240" w:lineRule="auto"/>
        <w:rPr>
          <w:rFonts w:eastAsia="Times New Roman" w:cs="Times New Roman"/>
          <w:shd w:val="clear" w:color="auto" w:fill="FFFFFF"/>
          <w:lang w:val="en-GB" w:eastAsia="nb-NO"/>
        </w:rPr>
      </w:pPr>
    </w:p>
    <w:p w:rsidR="00EE33ED" w:rsidRPr="008C5695" w:rsidRDefault="00EE33ED" w:rsidP="003C49B8">
      <w:pPr>
        <w:pStyle w:val="Overskrift1"/>
        <w:spacing w:before="0" w:line="240" w:lineRule="auto"/>
        <w:rPr>
          <w:rFonts w:asciiTheme="minorHAnsi" w:hAnsiTheme="minorHAnsi"/>
          <w:color w:val="1F497D" w:themeColor="text2"/>
          <w:szCs w:val="22"/>
          <w:lang w:val="en-GB"/>
        </w:rPr>
      </w:pPr>
      <w:bookmarkStart w:id="5" w:name="_Toc508351735"/>
      <w:r w:rsidRPr="008C5695">
        <w:rPr>
          <w:rFonts w:asciiTheme="minorHAnsi" w:hAnsiTheme="minorHAnsi"/>
          <w:color w:val="1F497D" w:themeColor="text2"/>
          <w:szCs w:val="22"/>
          <w:lang w:val="en-GB"/>
        </w:rPr>
        <w:t>12-15 Right to liberty and security of person, treatment of persons deprived of their liberty and fair trial (arts. 7, 9, 10 and 14)</w:t>
      </w:r>
      <w:bookmarkEnd w:id="5"/>
    </w:p>
    <w:p w:rsidR="005D1BC3" w:rsidRPr="00347524" w:rsidRDefault="005D1BC3" w:rsidP="003C49B8">
      <w:pPr>
        <w:spacing w:line="240" w:lineRule="auto"/>
        <w:rPr>
          <w:lang w:val="en-GB"/>
        </w:rPr>
      </w:pPr>
    </w:p>
    <w:p w:rsidR="005D1BC3" w:rsidRPr="00347524" w:rsidRDefault="005D1BC3" w:rsidP="003C49B8">
      <w:pPr>
        <w:spacing w:line="240" w:lineRule="auto"/>
        <w:rPr>
          <w:rFonts w:cs="Times New Roman"/>
          <w:b/>
          <w:u w:val="single"/>
          <w:lang w:val="en-GB"/>
        </w:rPr>
      </w:pPr>
      <w:r w:rsidRPr="00347524">
        <w:rPr>
          <w:b/>
          <w:lang w:val="en-GB"/>
        </w:rPr>
        <w:t>12.  Rules related to duration of police custody; use of solitary confinement</w:t>
      </w:r>
    </w:p>
    <w:p w:rsidR="005D1BC3" w:rsidRPr="00347524" w:rsidRDefault="005D1BC3" w:rsidP="003C49B8">
      <w:pPr>
        <w:pStyle w:val="NormalWeb"/>
        <w:rPr>
          <w:rFonts w:asciiTheme="minorHAnsi" w:hAnsiTheme="minorHAnsi"/>
          <w:sz w:val="22"/>
          <w:szCs w:val="22"/>
          <w:lang w:val="en-GB"/>
        </w:rPr>
      </w:pPr>
      <w:r w:rsidRPr="00347524">
        <w:rPr>
          <w:rFonts w:asciiTheme="minorHAnsi" w:hAnsiTheme="minorHAnsi"/>
          <w:sz w:val="22"/>
          <w:szCs w:val="22"/>
          <w:lang w:val="en-GB"/>
        </w:rPr>
        <w:t xml:space="preserve">In recent years, the number of cases where an arrested person is being held in police custody for more than 48 hours has been significantly reduced. In our view, one of the main reasons for the reduction is an agreement between Norway and the Netherlands to rent places in the </w:t>
      </w:r>
      <w:proofErr w:type="spellStart"/>
      <w:r w:rsidRPr="00347524">
        <w:rPr>
          <w:rFonts w:asciiTheme="minorHAnsi" w:hAnsiTheme="minorHAnsi"/>
          <w:i/>
          <w:sz w:val="22"/>
          <w:szCs w:val="22"/>
          <w:lang w:val="en-GB"/>
        </w:rPr>
        <w:t>Norgerhaven</w:t>
      </w:r>
      <w:proofErr w:type="spellEnd"/>
      <w:r w:rsidRPr="00347524">
        <w:rPr>
          <w:rFonts w:asciiTheme="minorHAnsi" w:hAnsiTheme="minorHAnsi"/>
          <w:i/>
          <w:sz w:val="22"/>
          <w:szCs w:val="22"/>
          <w:lang w:val="en-GB"/>
        </w:rPr>
        <w:t xml:space="preserve"> Prison</w:t>
      </w:r>
      <w:r w:rsidRPr="00347524">
        <w:rPr>
          <w:rFonts w:asciiTheme="minorHAnsi" w:hAnsiTheme="minorHAnsi"/>
          <w:sz w:val="22"/>
          <w:szCs w:val="22"/>
          <w:lang w:val="en-GB"/>
        </w:rPr>
        <w:t>, increasing prison capacity and reducing the need to keep persons in police custody for prolonged periods.</w:t>
      </w:r>
    </w:p>
    <w:p w:rsidR="005D1BC3" w:rsidRPr="00347524" w:rsidRDefault="00AC07A9" w:rsidP="003C49B8">
      <w:pPr>
        <w:pStyle w:val="NormalWeb"/>
        <w:rPr>
          <w:rFonts w:asciiTheme="minorHAnsi" w:hAnsiTheme="minorHAnsi" w:cs="Arial"/>
          <w:sz w:val="22"/>
          <w:szCs w:val="22"/>
          <w:lang w:val="en-GB" w:eastAsia="en-GB"/>
        </w:rPr>
      </w:pPr>
      <w:r w:rsidRPr="00347524">
        <w:rPr>
          <w:rFonts w:asciiTheme="minorHAnsi" w:hAnsiTheme="minorHAnsi"/>
          <w:sz w:val="22"/>
          <w:szCs w:val="22"/>
          <w:lang w:val="en-GB"/>
        </w:rPr>
        <w:t>However, a</w:t>
      </w:r>
      <w:r w:rsidR="005D1BC3" w:rsidRPr="00347524">
        <w:rPr>
          <w:rFonts w:asciiTheme="minorHAnsi" w:hAnsiTheme="minorHAnsi"/>
          <w:sz w:val="22"/>
          <w:szCs w:val="22"/>
          <w:lang w:val="en-GB"/>
        </w:rPr>
        <w:t xml:space="preserve"> 2016 report of the Parliamentary Ombudsman</w:t>
      </w:r>
      <w:r w:rsidR="009C1276" w:rsidRPr="00347524">
        <w:rPr>
          <w:rFonts w:asciiTheme="minorHAnsi" w:hAnsiTheme="minorHAnsi"/>
          <w:sz w:val="22"/>
          <w:szCs w:val="22"/>
          <w:lang w:val="en-GB"/>
        </w:rPr>
        <w:t xml:space="preserve"> </w:t>
      </w:r>
      <w:r w:rsidR="005D1BC3" w:rsidRPr="00347524">
        <w:rPr>
          <w:rFonts w:asciiTheme="minorHAnsi" w:hAnsiTheme="minorHAnsi"/>
          <w:sz w:val="22"/>
          <w:szCs w:val="22"/>
          <w:lang w:val="en-GB"/>
        </w:rPr>
        <w:t xml:space="preserve">concludes </w:t>
      </w:r>
      <w:r w:rsidRPr="00347524">
        <w:rPr>
          <w:rFonts w:asciiTheme="minorHAnsi" w:hAnsiTheme="minorHAnsi"/>
          <w:sz w:val="22"/>
          <w:szCs w:val="22"/>
          <w:lang w:val="en-GB"/>
        </w:rPr>
        <w:t>that, “</w:t>
      </w:r>
      <w:r w:rsidR="005D1BC3" w:rsidRPr="00347524">
        <w:rPr>
          <w:rFonts w:asciiTheme="minorHAnsi" w:hAnsiTheme="minorHAnsi" w:cs="Arial"/>
          <w:sz w:val="22"/>
          <w:szCs w:val="22"/>
          <w:lang w:val="en-GB"/>
        </w:rPr>
        <w:t>[</w:t>
      </w:r>
      <w:proofErr w:type="spellStart"/>
      <w:r w:rsidR="005D1BC3" w:rsidRPr="00347524">
        <w:rPr>
          <w:rFonts w:asciiTheme="minorHAnsi" w:hAnsiTheme="minorHAnsi" w:cs="Arial"/>
          <w:sz w:val="22"/>
          <w:szCs w:val="22"/>
          <w:lang w:val="en-GB"/>
        </w:rPr>
        <w:t>i</w:t>
      </w:r>
      <w:proofErr w:type="spellEnd"/>
      <w:r w:rsidR="005D1BC3" w:rsidRPr="00347524">
        <w:rPr>
          <w:rFonts w:asciiTheme="minorHAnsi" w:hAnsiTheme="minorHAnsi" w:cs="Arial"/>
          <w:sz w:val="22"/>
          <w:szCs w:val="22"/>
          <w:lang w:val="en-GB"/>
        </w:rPr>
        <w:t>]</w:t>
      </w:r>
      <w:proofErr w:type="spellStart"/>
      <w:r w:rsidR="005D1BC3" w:rsidRPr="00347524">
        <w:rPr>
          <w:rFonts w:asciiTheme="minorHAnsi" w:hAnsiTheme="minorHAnsi" w:cs="Arial"/>
          <w:sz w:val="22"/>
          <w:szCs w:val="22"/>
          <w:lang w:val="en-GB"/>
        </w:rPr>
        <w:t>nmates</w:t>
      </w:r>
      <w:proofErr w:type="spellEnd"/>
      <w:r w:rsidR="005D1BC3" w:rsidRPr="00347524">
        <w:rPr>
          <w:rFonts w:asciiTheme="minorHAnsi" w:hAnsiTheme="minorHAnsi" w:cs="Arial"/>
          <w:sz w:val="22"/>
          <w:szCs w:val="22"/>
          <w:lang w:val="en-GB"/>
        </w:rPr>
        <w:t xml:space="preserve"> who are transferred to </w:t>
      </w:r>
      <w:proofErr w:type="spellStart"/>
      <w:r w:rsidR="005D1BC3" w:rsidRPr="00347524">
        <w:rPr>
          <w:rFonts w:asciiTheme="minorHAnsi" w:hAnsiTheme="minorHAnsi" w:cs="Arial"/>
          <w:sz w:val="22"/>
          <w:szCs w:val="22"/>
          <w:lang w:val="en-GB"/>
        </w:rPr>
        <w:t>Norgerhaven</w:t>
      </w:r>
      <w:proofErr w:type="spellEnd"/>
      <w:r w:rsidR="005D1BC3" w:rsidRPr="00347524">
        <w:rPr>
          <w:rFonts w:asciiTheme="minorHAnsi" w:hAnsiTheme="minorHAnsi" w:cs="Arial"/>
          <w:sz w:val="22"/>
          <w:szCs w:val="22"/>
          <w:lang w:val="en-GB"/>
        </w:rPr>
        <w:t xml:space="preserve"> Prison </w:t>
      </w:r>
      <w:proofErr w:type="gramStart"/>
      <w:r w:rsidR="005D1BC3" w:rsidRPr="00347524">
        <w:rPr>
          <w:rFonts w:asciiTheme="minorHAnsi" w:hAnsiTheme="minorHAnsi" w:cs="Arial"/>
          <w:sz w:val="22"/>
          <w:szCs w:val="22"/>
          <w:lang w:val="en-GB"/>
        </w:rPr>
        <w:t>are</w:t>
      </w:r>
      <w:proofErr w:type="gramEnd"/>
      <w:r w:rsidR="005D1BC3" w:rsidRPr="00347524">
        <w:rPr>
          <w:rFonts w:asciiTheme="minorHAnsi" w:hAnsiTheme="minorHAnsi" w:cs="Arial"/>
          <w:sz w:val="22"/>
          <w:szCs w:val="22"/>
          <w:lang w:val="en-GB"/>
        </w:rPr>
        <w:t xml:space="preserve"> not guaranteed adequate protection against torture and inhuman or degrading treatment</w:t>
      </w:r>
      <w:r w:rsidR="005D1BC3" w:rsidRPr="00347524">
        <w:rPr>
          <w:rFonts w:asciiTheme="minorHAnsi" w:hAnsiTheme="minorHAnsi"/>
          <w:sz w:val="22"/>
          <w:szCs w:val="22"/>
          <w:lang w:val="en-GB"/>
        </w:rPr>
        <w:t>.” P</w:t>
      </w:r>
      <w:r w:rsidR="005D1BC3" w:rsidRPr="00347524">
        <w:rPr>
          <w:rFonts w:asciiTheme="minorHAnsi" w:hAnsiTheme="minorHAnsi" w:cs="Arial"/>
          <w:sz w:val="22"/>
          <w:szCs w:val="22"/>
          <w:lang w:val="en-GB" w:eastAsia="en-GB"/>
        </w:rPr>
        <w:t>ursuant to</w:t>
      </w:r>
      <w:r w:rsidRPr="00347524">
        <w:rPr>
          <w:rFonts w:asciiTheme="minorHAnsi" w:hAnsiTheme="minorHAnsi" w:cs="Arial"/>
          <w:sz w:val="22"/>
          <w:szCs w:val="22"/>
          <w:lang w:val="en-GB" w:eastAsia="en-GB"/>
        </w:rPr>
        <w:t>,</w:t>
      </w:r>
      <w:r w:rsidR="005D1BC3" w:rsidRPr="00347524">
        <w:rPr>
          <w:rFonts w:asciiTheme="minorHAnsi" w:hAnsiTheme="minorHAnsi" w:cs="Arial"/>
          <w:sz w:val="22"/>
          <w:szCs w:val="22"/>
          <w:lang w:val="en-GB" w:eastAsia="en-GB"/>
        </w:rPr>
        <w:t xml:space="preserve"> “the agreement on renting prison capacity, the Norwegian authorities will not be entitled to initiate a police investigation in the event of a violation of the prohibition against torture and ill-treatment in </w:t>
      </w:r>
      <w:proofErr w:type="spellStart"/>
      <w:r w:rsidR="005D1BC3" w:rsidRPr="00347524">
        <w:rPr>
          <w:rFonts w:asciiTheme="minorHAnsi" w:hAnsiTheme="minorHAnsi" w:cs="Arial"/>
          <w:sz w:val="22"/>
          <w:szCs w:val="22"/>
          <w:lang w:val="en-GB" w:eastAsia="en-GB"/>
        </w:rPr>
        <w:t>Norgerhaven</w:t>
      </w:r>
      <w:proofErr w:type="spellEnd"/>
      <w:r w:rsidR="005D1BC3" w:rsidRPr="00347524">
        <w:rPr>
          <w:rFonts w:asciiTheme="minorHAnsi" w:hAnsiTheme="minorHAnsi" w:cs="Arial"/>
          <w:sz w:val="22"/>
          <w:szCs w:val="22"/>
          <w:lang w:val="en-GB" w:eastAsia="en-GB"/>
        </w:rPr>
        <w:t xml:space="preserve"> Prison</w:t>
      </w:r>
      <w:r w:rsidR="00034E03" w:rsidRPr="00347524">
        <w:rPr>
          <w:rFonts w:asciiTheme="minorHAnsi" w:hAnsiTheme="minorHAnsi" w:cs="Arial"/>
          <w:sz w:val="22"/>
          <w:szCs w:val="22"/>
          <w:lang w:val="en-GB" w:eastAsia="en-GB"/>
        </w:rPr>
        <w:t>”</w:t>
      </w:r>
      <w:r w:rsidR="005D1BC3" w:rsidRPr="00347524">
        <w:rPr>
          <w:rFonts w:asciiTheme="minorHAnsi" w:hAnsiTheme="minorHAnsi" w:cs="Arial"/>
          <w:sz w:val="22"/>
          <w:szCs w:val="22"/>
          <w:lang w:val="en-GB" w:eastAsia="en-GB"/>
        </w:rPr>
        <w:t>.</w:t>
      </w:r>
    </w:p>
    <w:p w:rsidR="005D1BC3" w:rsidRPr="00347524" w:rsidRDefault="005D1BC3" w:rsidP="003C49B8">
      <w:pPr>
        <w:spacing w:after="180" w:line="240" w:lineRule="auto"/>
        <w:rPr>
          <w:rFonts w:cs="Times New Roman"/>
          <w:lang w:val="en-GB"/>
        </w:rPr>
      </w:pPr>
      <w:r w:rsidRPr="00347524">
        <w:rPr>
          <w:rFonts w:eastAsia="Times New Roman" w:cs="Arial"/>
          <w:lang w:val="en-GB" w:eastAsia="en-GB"/>
        </w:rPr>
        <w:t>The Ombudsman</w:t>
      </w:r>
      <w:r w:rsidR="00034E03" w:rsidRPr="00347524">
        <w:rPr>
          <w:rFonts w:eastAsia="Times New Roman" w:cs="Arial"/>
          <w:lang w:val="en-GB" w:eastAsia="en-GB"/>
        </w:rPr>
        <w:t xml:space="preserve"> further</w:t>
      </w:r>
      <w:r w:rsidRPr="00347524">
        <w:rPr>
          <w:rFonts w:eastAsia="Times New Roman" w:cs="Arial"/>
          <w:lang w:val="en-GB" w:eastAsia="en-GB"/>
        </w:rPr>
        <w:t xml:space="preserve"> underlines that</w:t>
      </w:r>
      <w:r w:rsidR="00AC07A9" w:rsidRPr="00347524">
        <w:rPr>
          <w:rFonts w:eastAsia="Times New Roman" w:cs="Arial"/>
          <w:lang w:val="en-GB" w:eastAsia="en-GB"/>
        </w:rPr>
        <w:t>,</w:t>
      </w:r>
      <w:r w:rsidRPr="00347524">
        <w:rPr>
          <w:rFonts w:eastAsia="Times New Roman" w:cs="Arial"/>
          <w:lang w:val="en-GB" w:eastAsia="en-GB"/>
        </w:rPr>
        <w:t xml:space="preserve"> “[t]his kind of arrangement is particularly problematic in light of ... [Norway’s] obligations under the UN Convention against Torture. It is also problematic that, in an emergency situation, authorities from another state will be able to use weapons and coercive measures against inmates who have been transferred to the Netherlands to serve their sentences. From the point of view of prevention, such an arrangement, in which the Norwegian authorities are prevented from fulfilling their responsibility to protect inmates, entails a risk of torture and ill-treatment.”</w:t>
      </w:r>
      <w:r w:rsidRPr="00347524">
        <w:rPr>
          <w:rStyle w:val="Fotnotereferanse"/>
          <w:rFonts w:cs="Times New Roman"/>
          <w:lang w:val="en-GB"/>
        </w:rPr>
        <w:footnoteReference w:id="16"/>
      </w:r>
    </w:p>
    <w:p w:rsidR="005D1BC3" w:rsidRPr="00347524" w:rsidRDefault="00034E03" w:rsidP="003C49B8">
      <w:pPr>
        <w:spacing w:line="240" w:lineRule="auto"/>
        <w:rPr>
          <w:rFonts w:cs="Times New Roman"/>
          <w:lang w:val="en-GB"/>
        </w:rPr>
      </w:pPr>
      <w:r w:rsidRPr="00347524">
        <w:rPr>
          <w:rFonts w:cs="Times New Roman"/>
          <w:lang w:val="en-GB"/>
        </w:rPr>
        <w:t>Norway’s</w:t>
      </w:r>
      <w:r w:rsidR="005D1BC3" w:rsidRPr="00347524">
        <w:rPr>
          <w:rFonts w:cs="Times New Roman"/>
          <w:lang w:val="en-GB"/>
        </w:rPr>
        <w:t xml:space="preserve"> report informs that</w:t>
      </w:r>
      <w:r w:rsidR="00AC07A9" w:rsidRPr="00347524">
        <w:rPr>
          <w:rFonts w:cs="Times New Roman"/>
          <w:lang w:val="en-GB"/>
        </w:rPr>
        <w:t>,</w:t>
      </w:r>
      <w:r w:rsidR="005D1BC3" w:rsidRPr="00347524">
        <w:rPr>
          <w:rFonts w:cs="Times New Roman"/>
          <w:lang w:val="en-GB"/>
        </w:rPr>
        <w:t xml:space="preserve"> “a new circular and guidelines have been issued and new procedures introduced” (paragraph 125), and that this is the reason for the reduction in the length and frequency of police custody. </w:t>
      </w:r>
      <w:r w:rsidR="00AC07A9" w:rsidRPr="00347524">
        <w:rPr>
          <w:rFonts w:cs="Times New Roman"/>
          <w:lang w:val="en-GB"/>
        </w:rPr>
        <w:t>However, the report offers</w:t>
      </w:r>
      <w:r w:rsidR="005D1BC3" w:rsidRPr="00347524">
        <w:rPr>
          <w:rFonts w:cs="Times New Roman"/>
          <w:lang w:val="en-GB"/>
        </w:rPr>
        <w:t xml:space="preserve"> no further indication on the contents of the circular and the guidelines.</w:t>
      </w:r>
    </w:p>
    <w:p w:rsidR="005D1BC3" w:rsidRPr="00347524" w:rsidRDefault="005D1BC3" w:rsidP="003C49B8">
      <w:pPr>
        <w:spacing w:line="240" w:lineRule="auto"/>
        <w:rPr>
          <w:rFonts w:cs="Times New Roman"/>
          <w:b/>
          <w:lang w:val="en-GB"/>
        </w:rPr>
      </w:pPr>
      <w:r w:rsidRPr="00347524">
        <w:rPr>
          <w:rFonts w:cs="Times New Roman"/>
          <w:b/>
          <w:lang w:val="en-GB"/>
        </w:rPr>
        <w:t>Recommendations:</w:t>
      </w:r>
    </w:p>
    <w:p w:rsidR="005D1BC3" w:rsidRPr="00347524" w:rsidRDefault="005D1BC3" w:rsidP="003C49B8">
      <w:pPr>
        <w:pStyle w:val="Listeavsnitt"/>
        <w:numPr>
          <w:ilvl w:val="0"/>
          <w:numId w:val="37"/>
        </w:numPr>
        <w:spacing w:line="240" w:lineRule="auto"/>
        <w:rPr>
          <w:rFonts w:cs="Times New Roman"/>
          <w:b/>
          <w:lang w:val="en-GB"/>
        </w:rPr>
      </w:pPr>
      <w:r w:rsidRPr="00347524">
        <w:rPr>
          <w:rFonts w:cs="Times New Roman"/>
          <w:lang w:val="en-GB"/>
        </w:rPr>
        <w:t xml:space="preserve">The agreement with the Netherlands to rent places in </w:t>
      </w:r>
      <w:proofErr w:type="spellStart"/>
      <w:r w:rsidRPr="00347524">
        <w:rPr>
          <w:rFonts w:cs="Times New Roman"/>
          <w:i/>
          <w:lang w:val="en-GB"/>
        </w:rPr>
        <w:t>Norgerhaven</w:t>
      </w:r>
      <w:proofErr w:type="spellEnd"/>
      <w:r w:rsidRPr="00347524">
        <w:rPr>
          <w:rFonts w:cs="Times New Roman"/>
          <w:i/>
          <w:lang w:val="en-GB"/>
        </w:rPr>
        <w:t xml:space="preserve"> Prison</w:t>
      </w:r>
      <w:r w:rsidRPr="00347524">
        <w:rPr>
          <w:rFonts w:cs="Times New Roman"/>
          <w:lang w:val="en-GB"/>
        </w:rPr>
        <w:t xml:space="preserve"> should come to an end</w:t>
      </w:r>
      <w:r w:rsidR="00E46B4A" w:rsidRPr="00347524">
        <w:rPr>
          <w:rFonts w:cs="Times New Roman"/>
          <w:lang w:val="en-GB"/>
        </w:rPr>
        <w:t>;</w:t>
      </w:r>
    </w:p>
    <w:p w:rsidR="005D1BC3" w:rsidRPr="00347524" w:rsidRDefault="00034E03" w:rsidP="003C49B8">
      <w:pPr>
        <w:pStyle w:val="Listeavsnitt"/>
        <w:numPr>
          <w:ilvl w:val="0"/>
          <w:numId w:val="37"/>
        </w:numPr>
        <w:spacing w:line="240" w:lineRule="auto"/>
        <w:rPr>
          <w:rFonts w:cs="Times New Roman"/>
          <w:b/>
          <w:lang w:val="en-GB"/>
        </w:rPr>
      </w:pPr>
      <w:r w:rsidRPr="00347524">
        <w:rPr>
          <w:rFonts w:cs="Times New Roman"/>
          <w:lang w:val="en-GB"/>
        </w:rPr>
        <w:t>Put in place a</w:t>
      </w:r>
      <w:r w:rsidR="005D1BC3" w:rsidRPr="00347524">
        <w:rPr>
          <w:rFonts w:cs="Times New Roman"/>
          <w:lang w:val="en-GB"/>
        </w:rPr>
        <w:t xml:space="preserve">lternative measures to reduce the length and frequency of </w:t>
      </w:r>
      <w:proofErr w:type="spellStart"/>
      <w:r w:rsidR="005D1BC3" w:rsidRPr="00347524">
        <w:rPr>
          <w:rFonts w:cs="Times New Roman"/>
          <w:lang w:val="en-GB"/>
        </w:rPr>
        <w:t>pretrial</w:t>
      </w:r>
      <w:proofErr w:type="spellEnd"/>
      <w:r w:rsidR="005D1BC3" w:rsidRPr="00347524">
        <w:rPr>
          <w:rFonts w:cs="Times New Roman"/>
          <w:lang w:val="en-GB"/>
        </w:rPr>
        <w:t xml:space="preserve"> detention.</w:t>
      </w:r>
    </w:p>
    <w:p w:rsidR="005D1BC3" w:rsidRPr="00347524" w:rsidRDefault="005D1BC3" w:rsidP="003C49B8">
      <w:pPr>
        <w:spacing w:line="240" w:lineRule="auto"/>
        <w:rPr>
          <w:rFonts w:cs="Times New Roman"/>
          <w:b/>
          <w:lang w:val="en-GB"/>
        </w:rPr>
      </w:pPr>
    </w:p>
    <w:p w:rsidR="005D1BC3" w:rsidRPr="00347524" w:rsidRDefault="005D1BC3" w:rsidP="003C49B8">
      <w:pPr>
        <w:spacing w:line="240" w:lineRule="auto"/>
        <w:rPr>
          <w:rFonts w:cs="Times New Roman"/>
          <w:b/>
          <w:lang w:val="en-GB"/>
        </w:rPr>
      </w:pPr>
      <w:r w:rsidRPr="00347524">
        <w:rPr>
          <w:rFonts w:cs="Times New Roman"/>
          <w:b/>
          <w:lang w:val="en-GB"/>
        </w:rPr>
        <w:t>Solitary confinement</w:t>
      </w:r>
    </w:p>
    <w:p w:rsidR="00BC0C4F" w:rsidRPr="00347524" w:rsidRDefault="00BC0C4F" w:rsidP="003C49B8">
      <w:pPr>
        <w:spacing w:line="240" w:lineRule="auto"/>
        <w:rPr>
          <w:rFonts w:cstheme="minorHAnsi"/>
          <w:lang w:val="en-GB"/>
        </w:rPr>
      </w:pPr>
      <w:r w:rsidRPr="00347524">
        <w:rPr>
          <w:rFonts w:cstheme="minorHAnsi"/>
          <w:lang w:val="en-GB"/>
        </w:rPr>
        <w:t>R</w:t>
      </w:r>
      <w:r w:rsidR="005D1BC3" w:rsidRPr="00347524">
        <w:rPr>
          <w:rFonts w:cstheme="minorHAnsi"/>
          <w:lang w:val="en-GB"/>
        </w:rPr>
        <w:t>eports</w:t>
      </w:r>
      <w:r w:rsidRPr="00347524">
        <w:rPr>
          <w:rFonts w:cstheme="minorHAnsi"/>
          <w:lang w:val="en-GB"/>
        </w:rPr>
        <w:t xml:space="preserve"> of the Parliamentary Ombudsman</w:t>
      </w:r>
      <w:r w:rsidR="00AC07A9" w:rsidRPr="00347524">
        <w:rPr>
          <w:rFonts w:cstheme="minorHAnsi"/>
          <w:lang w:val="en-GB"/>
        </w:rPr>
        <w:t>,</w:t>
      </w:r>
      <w:r w:rsidRPr="00347524">
        <w:rPr>
          <w:rFonts w:cstheme="minorHAnsi"/>
          <w:lang w:val="en-GB"/>
        </w:rPr>
        <w:t xml:space="preserve"> </w:t>
      </w:r>
      <w:r w:rsidR="00967E66" w:rsidRPr="00347524">
        <w:rPr>
          <w:rFonts w:cstheme="minorHAnsi"/>
          <w:lang w:val="en-GB"/>
        </w:rPr>
        <w:t>under his preventive mandate</w:t>
      </w:r>
      <w:r w:rsidR="00AC07A9" w:rsidRPr="00347524">
        <w:rPr>
          <w:rFonts w:cstheme="minorHAnsi"/>
          <w:lang w:val="en-GB"/>
        </w:rPr>
        <w:t>,</w:t>
      </w:r>
      <w:r w:rsidR="00967E66" w:rsidRPr="00347524">
        <w:rPr>
          <w:rFonts w:cstheme="minorHAnsi"/>
          <w:lang w:val="en-GB"/>
        </w:rPr>
        <w:t xml:space="preserve"> </w:t>
      </w:r>
      <w:r w:rsidR="005D1BC3" w:rsidRPr="00347524">
        <w:rPr>
          <w:rFonts w:cstheme="minorHAnsi"/>
          <w:lang w:val="en-GB"/>
        </w:rPr>
        <w:t>indicate that inmates are excluded from company</w:t>
      </w:r>
      <w:r w:rsidRPr="00347524">
        <w:rPr>
          <w:rFonts w:cstheme="minorHAnsi"/>
          <w:lang w:val="en-GB"/>
        </w:rPr>
        <w:t xml:space="preserve"> and placed in isolation for prolonged periods</w:t>
      </w:r>
      <w:r w:rsidR="005D1BC3" w:rsidRPr="00347524">
        <w:rPr>
          <w:rFonts w:cstheme="minorHAnsi"/>
          <w:lang w:val="en-GB"/>
        </w:rPr>
        <w:t xml:space="preserve"> both in maximum and low security prisons. Inmates are still being isolated due to building and/or staff conditions.</w:t>
      </w:r>
      <w:r w:rsidRPr="00347524">
        <w:rPr>
          <w:rStyle w:val="Fotnotereferanse"/>
          <w:rFonts w:cstheme="minorHAnsi"/>
          <w:lang w:val="en-GB"/>
        </w:rPr>
        <w:footnoteReference w:id="17"/>
      </w:r>
      <w:r w:rsidRPr="00347524">
        <w:rPr>
          <w:rFonts w:cstheme="minorHAnsi"/>
          <w:lang w:val="en-GB"/>
        </w:rPr>
        <w:t xml:space="preserve"> </w:t>
      </w:r>
    </w:p>
    <w:p w:rsidR="00BA1B1C" w:rsidRPr="00347524" w:rsidRDefault="00BC0C4F" w:rsidP="003C49B8">
      <w:pPr>
        <w:spacing w:line="240" w:lineRule="auto"/>
        <w:rPr>
          <w:rFonts w:cstheme="minorHAnsi"/>
          <w:lang w:val="en-GB"/>
        </w:rPr>
      </w:pPr>
      <w:r w:rsidRPr="00347524">
        <w:rPr>
          <w:rFonts w:cstheme="minorHAnsi"/>
          <w:lang w:val="en-GB"/>
        </w:rPr>
        <w:t xml:space="preserve">After a visit to Ila Detention and Security Prison </w:t>
      </w:r>
      <w:r w:rsidR="00A95A8F" w:rsidRPr="00347524">
        <w:rPr>
          <w:rFonts w:cstheme="minorHAnsi"/>
          <w:lang w:val="en-GB"/>
        </w:rPr>
        <w:t>from the 6</w:t>
      </w:r>
      <w:r w:rsidR="00A95A8F" w:rsidRPr="00347524">
        <w:rPr>
          <w:rFonts w:cstheme="minorHAnsi"/>
          <w:vertAlign w:val="superscript"/>
          <w:lang w:val="en-GB"/>
        </w:rPr>
        <w:t>th</w:t>
      </w:r>
      <w:r w:rsidR="00A95A8F" w:rsidRPr="00347524">
        <w:rPr>
          <w:rFonts w:cstheme="minorHAnsi"/>
          <w:lang w:val="en-GB"/>
        </w:rPr>
        <w:t xml:space="preserve"> to 9</w:t>
      </w:r>
      <w:r w:rsidR="00A95A8F" w:rsidRPr="00347524">
        <w:rPr>
          <w:rFonts w:cstheme="minorHAnsi"/>
          <w:vertAlign w:val="superscript"/>
          <w:lang w:val="en-GB"/>
        </w:rPr>
        <w:t>th</w:t>
      </w:r>
      <w:r w:rsidR="00A95A8F" w:rsidRPr="00347524">
        <w:rPr>
          <w:rFonts w:cstheme="minorHAnsi"/>
          <w:lang w:val="en-GB"/>
        </w:rPr>
        <w:t xml:space="preserve"> of March 2017,</w:t>
      </w:r>
      <w:r w:rsidR="009C1276" w:rsidRPr="00347524">
        <w:rPr>
          <w:rFonts w:cstheme="minorHAnsi"/>
          <w:lang w:val="en-GB"/>
        </w:rPr>
        <w:t xml:space="preserve"> </w:t>
      </w:r>
      <w:r w:rsidRPr="00347524">
        <w:rPr>
          <w:rFonts w:cstheme="minorHAnsi"/>
          <w:lang w:val="en-GB"/>
        </w:rPr>
        <w:t>the Ombudsman stated that</w:t>
      </w:r>
      <w:r w:rsidR="00A95A8F" w:rsidRPr="00347524">
        <w:rPr>
          <w:rFonts w:cstheme="minorHAnsi"/>
          <w:lang w:val="en-GB"/>
        </w:rPr>
        <w:t>,</w:t>
      </w:r>
      <w:r w:rsidRPr="00347524">
        <w:rPr>
          <w:rFonts w:cstheme="minorHAnsi"/>
          <w:lang w:val="en-GB"/>
        </w:rPr>
        <w:t xml:space="preserve"> “I am concerned about the situation for certain inmates who, in practice, have been in isolation for a long time. The prison uses extensive resources on activating these inmates. They are nevertheless unable to treat this group’s mental disorders within the current framework. The authorities must implement measures to ensure that this group of inmates are offered satisfactory treatment and that their isolation ceases”. </w:t>
      </w:r>
    </w:p>
    <w:p w:rsidR="005D1BC3" w:rsidRPr="00347524" w:rsidRDefault="00BC0C4F" w:rsidP="003C49B8">
      <w:pPr>
        <w:spacing w:line="240" w:lineRule="auto"/>
        <w:rPr>
          <w:rFonts w:cstheme="minorHAnsi"/>
          <w:lang w:val="en-GB"/>
        </w:rPr>
      </w:pPr>
      <w:r w:rsidRPr="00347524">
        <w:rPr>
          <w:rFonts w:cstheme="minorHAnsi"/>
          <w:lang w:val="en-GB"/>
        </w:rPr>
        <w:t>He also stated that</w:t>
      </w:r>
      <w:r w:rsidR="00A95A8F" w:rsidRPr="00347524">
        <w:rPr>
          <w:rFonts w:cstheme="minorHAnsi"/>
          <w:lang w:val="en-GB"/>
        </w:rPr>
        <w:t>,</w:t>
      </w:r>
      <w:r w:rsidRPr="00347524">
        <w:rPr>
          <w:rFonts w:cstheme="minorHAnsi"/>
          <w:lang w:val="en-GB"/>
        </w:rPr>
        <w:t xml:space="preserve"> “[t]he state of the buildings and the resource situation at Ila also mean that even inmates who are not in long-term isolation risk being locked in their cells for 22 hours or more without activity”.</w:t>
      </w:r>
      <w:r w:rsidR="005D1BC3" w:rsidRPr="00347524">
        <w:rPr>
          <w:rStyle w:val="Fotnotereferanse"/>
          <w:rFonts w:cstheme="minorHAnsi"/>
          <w:lang w:val="en-GB"/>
        </w:rPr>
        <w:footnoteReference w:id="18"/>
      </w:r>
    </w:p>
    <w:p w:rsidR="005D1BC3" w:rsidRPr="00347524" w:rsidRDefault="005D1BC3" w:rsidP="003C49B8">
      <w:pPr>
        <w:spacing w:line="240" w:lineRule="auto"/>
        <w:rPr>
          <w:rFonts w:cs="Times New Roman"/>
          <w:b/>
          <w:lang w:val="en-GB"/>
        </w:rPr>
      </w:pPr>
      <w:r w:rsidRPr="00347524">
        <w:rPr>
          <w:rFonts w:cs="Times New Roman"/>
          <w:b/>
          <w:lang w:val="en-GB"/>
        </w:rPr>
        <w:t>Recommendations:</w:t>
      </w:r>
    </w:p>
    <w:p w:rsidR="005D1BC3" w:rsidRPr="00347524" w:rsidRDefault="00034E03" w:rsidP="003C49B8">
      <w:pPr>
        <w:pStyle w:val="Listeavsnitt"/>
        <w:numPr>
          <w:ilvl w:val="0"/>
          <w:numId w:val="38"/>
        </w:numPr>
        <w:spacing w:after="200" w:line="240" w:lineRule="auto"/>
        <w:rPr>
          <w:rFonts w:cs="Times New Roman"/>
          <w:lang w:val="en-GB"/>
        </w:rPr>
      </w:pPr>
      <w:r w:rsidRPr="00347524">
        <w:rPr>
          <w:rFonts w:cs="Times New Roman"/>
          <w:lang w:val="en-GB"/>
        </w:rPr>
        <w:t>Put in place f</w:t>
      </w:r>
      <w:r w:rsidR="00BA1B1C" w:rsidRPr="00347524">
        <w:rPr>
          <w:rFonts w:cs="Times New Roman"/>
          <w:lang w:val="en-GB"/>
        </w:rPr>
        <w:t>urther m</w:t>
      </w:r>
      <w:r w:rsidR="005D1BC3" w:rsidRPr="00347524">
        <w:rPr>
          <w:rFonts w:cs="Times New Roman"/>
          <w:lang w:val="en-GB"/>
        </w:rPr>
        <w:t>easures to reduce the use of solitary confinement, both pre- and post-trial</w:t>
      </w:r>
      <w:r w:rsidR="00BA1B1C" w:rsidRPr="00347524">
        <w:rPr>
          <w:rFonts w:cs="Times New Roman"/>
          <w:lang w:val="en-GB"/>
        </w:rPr>
        <w:t>;</w:t>
      </w:r>
    </w:p>
    <w:p w:rsidR="005D1BC3" w:rsidRPr="00347524" w:rsidRDefault="00034E03" w:rsidP="003C49B8">
      <w:pPr>
        <w:pStyle w:val="Listeavsnitt"/>
        <w:numPr>
          <w:ilvl w:val="0"/>
          <w:numId w:val="38"/>
        </w:numPr>
        <w:spacing w:after="200" w:line="240" w:lineRule="auto"/>
        <w:rPr>
          <w:rFonts w:cs="Times New Roman"/>
          <w:lang w:val="en-GB"/>
        </w:rPr>
      </w:pPr>
      <w:r w:rsidRPr="00347524">
        <w:rPr>
          <w:rFonts w:cs="Times New Roman"/>
          <w:lang w:val="en-GB"/>
        </w:rPr>
        <w:t>Give t</w:t>
      </w:r>
      <w:r w:rsidR="005D1BC3" w:rsidRPr="00347524">
        <w:rPr>
          <w:rFonts w:cs="Times New Roman"/>
          <w:lang w:val="en-GB"/>
        </w:rPr>
        <w:t>he correctional services adequate resources to ensure that inmates are not being excluded from company due to building and/or staff conditions</w:t>
      </w:r>
      <w:r w:rsidR="00BA1B1C" w:rsidRPr="00347524">
        <w:rPr>
          <w:rFonts w:cs="Times New Roman"/>
          <w:lang w:val="en-GB"/>
        </w:rPr>
        <w:t>.</w:t>
      </w:r>
    </w:p>
    <w:p w:rsidR="005D1BC3" w:rsidRPr="00347524" w:rsidRDefault="005D1BC3" w:rsidP="003C49B8">
      <w:pPr>
        <w:spacing w:line="240" w:lineRule="auto"/>
        <w:rPr>
          <w:lang w:val="en-GB"/>
        </w:rPr>
      </w:pPr>
    </w:p>
    <w:p w:rsidR="005D1BC3" w:rsidRPr="00347524" w:rsidRDefault="005D1BC3" w:rsidP="003C49B8">
      <w:pPr>
        <w:spacing w:after="200" w:line="240" w:lineRule="auto"/>
        <w:rPr>
          <w:rFonts w:cs="Times New Roman"/>
          <w:b/>
          <w:lang w:val="en-GB"/>
        </w:rPr>
      </w:pPr>
      <w:r w:rsidRPr="00347524">
        <w:rPr>
          <w:rFonts w:cs="Times New Roman"/>
          <w:b/>
          <w:lang w:val="en-GB"/>
        </w:rPr>
        <w:t xml:space="preserve">13. </w:t>
      </w:r>
      <w:r w:rsidR="00BF4784" w:rsidRPr="00347524">
        <w:rPr>
          <w:rFonts w:cs="Times New Roman"/>
          <w:b/>
          <w:lang w:val="en-GB"/>
        </w:rPr>
        <w:t>F</w:t>
      </w:r>
      <w:r w:rsidR="00422ADA" w:rsidRPr="00347524">
        <w:rPr>
          <w:rFonts w:cs="Times New Roman"/>
          <w:b/>
          <w:lang w:val="en-GB"/>
        </w:rPr>
        <w:t>ree l</w:t>
      </w:r>
      <w:r w:rsidRPr="00347524">
        <w:rPr>
          <w:rFonts w:cs="Times New Roman"/>
          <w:b/>
          <w:lang w:val="en-GB"/>
        </w:rPr>
        <w:t xml:space="preserve">egal aid </w:t>
      </w:r>
    </w:p>
    <w:p w:rsidR="005D1BC3" w:rsidRPr="00347524" w:rsidRDefault="005D1BC3" w:rsidP="003C49B8">
      <w:pPr>
        <w:spacing w:line="240" w:lineRule="auto"/>
        <w:rPr>
          <w:rFonts w:cs="Times New Roman"/>
          <w:lang w:val="en-GB"/>
        </w:rPr>
      </w:pPr>
      <w:r w:rsidRPr="00347524">
        <w:rPr>
          <w:rFonts w:cs="Times New Roman"/>
          <w:lang w:val="en-GB"/>
        </w:rPr>
        <w:t>The present legal aid scheme in civil cases, based on the Legal Aid Act</w:t>
      </w:r>
      <w:r w:rsidR="00967E66" w:rsidRPr="00347524">
        <w:rPr>
          <w:rFonts w:cs="Times New Roman"/>
          <w:lang w:val="en-GB"/>
        </w:rPr>
        <w:t>,</w:t>
      </w:r>
      <w:r w:rsidRPr="00347524">
        <w:rPr>
          <w:rFonts w:cs="Times New Roman"/>
          <w:lang w:val="en-GB"/>
        </w:rPr>
        <w:t xml:space="preserve"> does not provide an effective protection of </w:t>
      </w:r>
      <w:r w:rsidR="00967E66" w:rsidRPr="00347524">
        <w:rPr>
          <w:rFonts w:cs="Times New Roman"/>
          <w:lang w:val="en-GB"/>
        </w:rPr>
        <w:t>civil and political rights</w:t>
      </w:r>
      <w:r w:rsidRPr="00347524">
        <w:rPr>
          <w:rFonts w:cs="Times New Roman"/>
          <w:lang w:val="en-GB"/>
        </w:rPr>
        <w:t xml:space="preserve">. </w:t>
      </w:r>
    </w:p>
    <w:p w:rsidR="005D1BC3" w:rsidRPr="00347524" w:rsidRDefault="00A95A8F" w:rsidP="003C49B8">
      <w:pPr>
        <w:spacing w:line="240" w:lineRule="auto"/>
        <w:rPr>
          <w:rFonts w:cs="Times New Roman"/>
          <w:lang w:val="en-GB"/>
        </w:rPr>
      </w:pPr>
      <w:r w:rsidRPr="00347524">
        <w:rPr>
          <w:rFonts w:cs="Times New Roman"/>
          <w:lang w:val="en-GB"/>
        </w:rPr>
        <w:t>Norway has, on a number of occasions, received criticism relating to the</w:t>
      </w:r>
      <w:r w:rsidR="005D1BC3" w:rsidRPr="00347524">
        <w:rPr>
          <w:rFonts w:cs="Times New Roman"/>
          <w:lang w:val="en-GB"/>
        </w:rPr>
        <w:t xml:space="preserve"> Legal Aid Act </w:t>
      </w:r>
      <w:r w:rsidR="00020EBB" w:rsidRPr="00347524">
        <w:rPr>
          <w:rFonts w:cs="Times New Roman"/>
          <w:lang w:val="en-GB"/>
        </w:rPr>
        <w:t>as well as statements on</w:t>
      </w:r>
      <w:r w:rsidR="005D1BC3" w:rsidRPr="00347524">
        <w:rPr>
          <w:rFonts w:cs="Times New Roman"/>
          <w:lang w:val="en-GB"/>
        </w:rPr>
        <w:t xml:space="preserve"> </w:t>
      </w:r>
      <w:r w:rsidR="00020EBB" w:rsidRPr="00347524">
        <w:rPr>
          <w:rFonts w:cs="Times New Roman"/>
          <w:lang w:val="en-GB"/>
        </w:rPr>
        <w:t>the</w:t>
      </w:r>
      <w:r w:rsidR="005D1BC3" w:rsidRPr="00347524">
        <w:rPr>
          <w:rFonts w:cs="Times New Roman"/>
          <w:lang w:val="en-GB"/>
        </w:rPr>
        <w:t xml:space="preserve"> need for assessment, revision and </w:t>
      </w:r>
      <w:r w:rsidR="00020EBB" w:rsidRPr="00347524">
        <w:rPr>
          <w:rFonts w:cs="Times New Roman"/>
          <w:lang w:val="en-GB"/>
        </w:rPr>
        <w:t>amendments</w:t>
      </w:r>
      <w:r w:rsidR="005D1BC3" w:rsidRPr="00347524">
        <w:rPr>
          <w:rFonts w:cs="Times New Roman"/>
          <w:lang w:val="en-GB"/>
        </w:rPr>
        <w:t xml:space="preserve"> </w:t>
      </w:r>
      <w:r w:rsidRPr="00347524">
        <w:rPr>
          <w:rFonts w:cs="Times New Roman"/>
          <w:lang w:val="en-GB"/>
        </w:rPr>
        <w:t>in order for the</w:t>
      </w:r>
      <w:r w:rsidR="005D1BC3" w:rsidRPr="00347524">
        <w:rPr>
          <w:rFonts w:cs="Times New Roman"/>
          <w:lang w:val="en-GB"/>
        </w:rPr>
        <w:t xml:space="preserve"> Legal Aid scheme to</w:t>
      </w:r>
      <w:r w:rsidR="00967E66" w:rsidRPr="00347524">
        <w:rPr>
          <w:rFonts w:cs="Times New Roman"/>
          <w:lang w:val="en-GB"/>
        </w:rPr>
        <w:t xml:space="preserve"> fully</w:t>
      </w:r>
      <w:r w:rsidR="005D1BC3" w:rsidRPr="00347524">
        <w:rPr>
          <w:rFonts w:cs="Times New Roman"/>
          <w:lang w:val="en-GB"/>
        </w:rPr>
        <w:t xml:space="preserve"> </w:t>
      </w:r>
      <w:r w:rsidR="003C49B8" w:rsidRPr="00347524">
        <w:rPr>
          <w:rFonts w:cs="Times New Roman"/>
          <w:lang w:val="en-GB"/>
        </w:rPr>
        <w:t>fulfil</w:t>
      </w:r>
      <w:r w:rsidR="005D1BC3" w:rsidRPr="00347524">
        <w:rPr>
          <w:rFonts w:cs="Times New Roman"/>
          <w:lang w:val="en-GB"/>
        </w:rPr>
        <w:t xml:space="preserve"> Norway’s international</w:t>
      </w:r>
      <w:r w:rsidR="00967E66" w:rsidRPr="00347524">
        <w:rPr>
          <w:rFonts w:cs="Times New Roman"/>
          <w:lang w:val="en-GB"/>
        </w:rPr>
        <w:t xml:space="preserve"> obligations.</w:t>
      </w:r>
      <w:r w:rsidR="005D1BC3" w:rsidRPr="00347524">
        <w:rPr>
          <w:rStyle w:val="Fotnotereferanse"/>
          <w:rFonts w:cs="Times New Roman"/>
          <w:lang w:val="en-GB"/>
        </w:rPr>
        <w:footnoteReference w:id="19"/>
      </w:r>
      <w:r w:rsidR="005D1BC3" w:rsidRPr="00347524">
        <w:rPr>
          <w:rFonts w:cs="Times New Roman"/>
          <w:lang w:val="en-GB"/>
        </w:rPr>
        <w:t xml:space="preserve"> There has been </w:t>
      </w:r>
      <w:r w:rsidR="00967E66" w:rsidRPr="00347524">
        <w:rPr>
          <w:rFonts w:cs="Times New Roman"/>
          <w:lang w:val="en-GB"/>
        </w:rPr>
        <w:t>only limited progress in</w:t>
      </w:r>
      <w:r w:rsidR="005D1BC3" w:rsidRPr="00347524">
        <w:rPr>
          <w:rFonts w:cs="Times New Roman"/>
          <w:lang w:val="en-GB"/>
        </w:rPr>
        <w:t xml:space="preserve"> improv</w:t>
      </w:r>
      <w:r w:rsidR="00967E66" w:rsidRPr="00347524">
        <w:rPr>
          <w:rFonts w:cs="Times New Roman"/>
          <w:lang w:val="en-GB"/>
        </w:rPr>
        <w:t>ing</w:t>
      </w:r>
      <w:r w:rsidR="005D1BC3" w:rsidRPr="00347524">
        <w:rPr>
          <w:rFonts w:cs="Times New Roman"/>
          <w:lang w:val="en-GB"/>
        </w:rPr>
        <w:t xml:space="preserve"> the legal aid scheme following the Committee</w:t>
      </w:r>
      <w:r w:rsidR="00020EBB" w:rsidRPr="00347524">
        <w:rPr>
          <w:rFonts w:cs="Times New Roman"/>
          <w:lang w:val="en-GB"/>
        </w:rPr>
        <w:t>’</w:t>
      </w:r>
      <w:r w:rsidR="005D1BC3" w:rsidRPr="00347524">
        <w:rPr>
          <w:rFonts w:cs="Times New Roman"/>
          <w:lang w:val="en-GB"/>
        </w:rPr>
        <w:t>s comments</w:t>
      </w:r>
      <w:r w:rsidR="00967E66" w:rsidRPr="00347524">
        <w:rPr>
          <w:rFonts w:cs="Times New Roman"/>
          <w:lang w:val="en-GB"/>
        </w:rPr>
        <w:t xml:space="preserve"> in 2011</w:t>
      </w:r>
      <w:r w:rsidR="005D1BC3" w:rsidRPr="00347524">
        <w:rPr>
          <w:rFonts w:cs="Times New Roman"/>
          <w:lang w:val="en-GB"/>
        </w:rPr>
        <w:t xml:space="preserve">. </w:t>
      </w:r>
    </w:p>
    <w:p w:rsidR="005D1BC3" w:rsidRPr="00347524" w:rsidRDefault="00967E66" w:rsidP="003C49B8">
      <w:pPr>
        <w:spacing w:line="240" w:lineRule="auto"/>
        <w:rPr>
          <w:rFonts w:cs="Times New Roman"/>
          <w:lang w:val="en-GB"/>
        </w:rPr>
      </w:pPr>
      <w:r w:rsidRPr="00347524">
        <w:rPr>
          <w:rFonts w:cs="Times New Roman"/>
          <w:lang w:val="en-GB"/>
        </w:rPr>
        <w:t>Norway</w:t>
      </w:r>
      <w:r w:rsidR="00020EBB" w:rsidRPr="00347524">
        <w:rPr>
          <w:rFonts w:cs="Times New Roman"/>
          <w:lang w:val="en-GB"/>
        </w:rPr>
        <w:t>’s report</w:t>
      </w:r>
      <w:r w:rsidR="005D1BC3" w:rsidRPr="00347524">
        <w:rPr>
          <w:rFonts w:cs="Times New Roman"/>
          <w:lang w:val="en-GB"/>
        </w:rPr>
        <w:t xml:space="preserve"> point</w:t>
      </w:r>
      <w:r w:rsidRPr="00347524">
        <w:rPr>
          <w:rFonts w:cs="Times New Roman"/>
          <w:lang w:val="en-GB"/>
        </w:rPr>
        <w:t>s</w:t>
      </w:r>
      <w:r w:rsidR="005D1BC3" w:rsidRPr="00347524">
        <w:rPr>
          <w:rFonts w:cs="Times New Roman"/>
          <w:lang w:val="en-GB"/>
        </w:rPr>
        <w:t xml:space="preserve"> </w:t>
      </w:r>
      <w:r w:rsidR="00460B16" w:rsidRPr="00347524">
        <w:rPr>
          <w:rFonts w:cs="Times New Roman"/>
          <w:lang w:val="en-GB"/>
        </w:rPr>
        <w:t>out</w:t>
      </w:r>
      <w:r w:rsidR="005D1BC3" w:rsidRPr="00347524">
        <w:rPr>
          <w:rFonts w:cs="Times New Roman"/>
          <w:lang w:val="en-GB"/>
        </w:rPr>
        <w:t xml:space="preserve"> that the free legal aid scheme is currently under review</w:t>
      </w:r>
      <w:r w:rsidR="00A95A8F" w:rsidRPr="00347524">
        <w:rPr>
          <w:rFonts w:cs="Times New Roman"/>
          <w:lang w:val="en-GB"/>
        </w:rPr>
        <w:t>,</w:t>
      </w:r>
      <w:r w:rsidR="00BF4784" w:rsidRPr="00347524">
        <w:rPr>
          <w:rFonts w:cs="Times New Roman"/>
          <w:lang w:val="en-GB"/>
        </w:rPr>
        <w:t xml:space="preserve"> “to ensure that it is as fair, specific and effective as possible”</w:t>
      </w:r>
      <w:r w:rsidRPr="00347524">
        <w:rPr>
          <w:rFonts w:cs="Times New Roman"/>
          <w:lang w:val="en-GB"/>
        </w:rPr>
        <w:t>.</w:t>
      </w:r>
      <w:r w:rsidR="005D1BC3" w:rsidRPr="00347524">
        <w:rPr>
          <w:rStyle w:val="Fotnotereferanse"/>
          <w:rFonts w:cs="Times New Roman"/>
          <w:lang w:val="en-GB"/>
        </w:rPr>
        <w:footnoteReference w:id="20"/>
      </w:r>
      <w:r w:rsidR="003C49B8" w:rsidRPr="00347524">
        <w:rPr>
          <w:rFonts w:cs="Times New Roman"/>
          <w:lang w:val="en-GB"/>
        </w:rPr>
        <w:t xml:space="preserve"> </w:t>
      </w:r>
      <w:r w:rsidR="00A95A8F" w:rsidRPr="00347524">
        <w:rPr>
          <w:rFonts w:cs="Times New Roman"/>
          <w:lang w:val="en-GB"/>
        </w:rPr>
        <w:t>However, s</w:t>
      </w:r>
      <w:r w:rsidR="00BF4784" w:rsidRPr="00347524">
        <w:rPr>
          <w:rFonts w:cs="Times New Roman"/>
          <w:lang w:val="en-GB"/>
        </w:rPr>
        <w:t xml:space="preserve">uch reviews have been undertaken </w:t>
      </w:r>
      <w:r w:rsidR="00A95A8F" w:rsidRPr="00347524">
        <w:rPr>
          <w:rFonts w:cs="Times New Roman"/>
          <w:lang w:val="en-GB"/>
        </w:rPr>
        <w:t>previously without</w:t>
      </w:r>
      <w:r w:rsidR="005D1BC3" w:rsidRPr="00347524">
        <w:rPr>
          <w:rFonts w:cs="Times New Roman"/>
          <w:lang w:val="en-GB"/>
        </w:rPr>
        <w:t xml:space="preserve"> </w:t>
      </w:r>
      <w:r w:rsidR="00BF4784" w:rsidRPr="00347524">
        <w:rPr>
          <w:rFonts w:cs="Times New Roman"/>
          <w:lang w:val="en-GB"/>
        </w:rPr>
        <w:t xml:space="preserve">resulting in </w:t>
      </w:r>
      <w:r w:rsidR="00A95A8F" w:rsidRPr="00347524">
        <w:rPr>
          <w:rFonts w:cs="Times New Roman"/>
          <w:lang w:val="en-GB"/>
        </w:rPr>
        <w:t>the expansion of</w:t>
      </w:r>
      <w:r w:rsidR="003C49B8" w:rsidRPr="00347524">
        <w:rPr>
          <w:rFonts w:cs="Times New Roman"/>
          <w:lang w:val="en-GB"/>
        </w:rPr>
        <w:t xml:space="preserve"> </w:t>
      </w:r>
      <w:r w:rsidR="005D1BC3" w:rsidRPr="00347524">
        <w:rPr>
          <w:rFonts w:cs="Times New Roman"/>
          <w:lang w:val="en-GB"/>
        </w:rPr>
        <w:t>the scheme</w:t>
      </w:r>
      <w:r w:rsidR="00460B16" w:rsidRPr="00347524">
        <w:rPr>
          <w:rFonts w:cs="Times New Roman"/>
          <w:lang w:val="en-GB"/>
        </w:rPr>
        <w:t>’</w:t>
      </w:r>
      <w:r w:rsidR="005D1BC3" w:rsidRPr="00347524">
        <w:rPr>
          <w:rFonts w:cs="Times New Roman"/>
          <w:lang w:val="en-GB"/>
        </w:rPr>
        <w:t xml:space="preserve">s coverage. </w:t>
      </w:r>
    </w:p>
    <w:p w:rsidR="005D1BC3" w:rsidRPr="00347524" w:rsidRDefault="00BF4784" w:rsidP="003C49B8">
      <w:pPr>
        <w:spacing w:line="240" w:lineRule="auto"/>
        <w:rPr>
          <w:rFonts w:eastAsia="Times New Roman" w:cs="Times New Roman"/>
          <w:lang w:val="en-GB" w:eastAsia="nb-NO"/>
        </w:rPr>
      </w:pPr>
      <w:r w:rsidRPr="00347524">
        <w:rPr>
          <w:rFonts w:cs="Times New Roman"/>
          <w:lang w:val="en-GB"/>
        </w:rPr>
        <w:t>On this background, w</w:t>
      </w:r>
      <w:r w:rsidR="005D1BC3" w:rsidRPr="00347524">
        <w:rPr>
          <w:rFonts w:cs="Times New Roman"/>
          <w:lang w:val="en-GB"/>
        </w:rPr>
        <w:t xml:space="preserve">e encourage the Committee to reiterate </w:t>
      </w:r>
      <w:r w:rsidRPr="00347524">
        <w:rPr>
          <w:rFonts w:cs="Times New Roman"/>
          <w:lang w:val="en-GB"/>
        </w:rPr>
        <w:t>its 2011</w:t>
      </w:r>
      <w:r w:rsidR="005D1BC3" w:rsidRPr="00347524">
        <w:rPr>
          <w:rFonts w:cs="Times New Roman"/>
          <w:lang w:val="en-GB"/>
        </w:rPr>
        <w:t xml:space="preserve"> recommendations</w:t>
      </w:r>
      <w:r w:rsidRPr="00347524">
        <w:rPr>
          <w:rFonts w:cs="Times New Roman"/>
          <w:lang w:val="en-GB"/>
        </w:rPr>
        <w:t>. Norway should initiate a</w:t>
      </w:r>
      <w:r w:rsidR="005D1BC3" w:rsidRPr="00347524">
        <w:rPr>
          <w:rFonts w:cs="Times New Roman"/>
          <w:lang w:val="en-GB"/>
        </w:rPr>
        <w:t xml:space="preserve"> thorough assessment of </w:t>
      </w:r>
      <w:r w:rsidRPr="00347524">
        <w:rPr>
          <w:rFonts w:cs="Times New Roman"/>
          <w:lang w:val="en-GB"/>
        </w:rPr>
        <w:t>its</w:t>
      </w:r>
      <w:r w:rsidR="005D1BC3" w:rsidRPr="00347524">
        <w:rPr>
          <w:rFonts w:cs="Times New Roman"/>
          <w:lang w:val="en-GB"/>
        </w:rPr>
        <w:t xml:space="preserve"> free legal aid scheme. </w:t>
      </w:r>
      <w:proofErr w:type="gramStart"/>
      <w:r w:rsidRPr="00347524">
        <w:rPr>
          <w:rFonts w:cs="Times New Roman"/>
          <w:lang w:val="en-GB"/>
        </w:rPr>
        <w:t xml:space="preserve">As it functions </w:t>
      </w:r>
      <w:r w:rsidR="005D1BC3" w:rsidRPr="00347524">
        <w:rPr>
          <w:rFonts w:cs="Times New Roman"/>
          <w:lang w:val="en-GB"/>
        </w:rPr>
        <w:t>today</w:t>
      </w:r>
      <w:r w:rsidRPr="00347524">
        <w:rPr>
          <w:rFonts w:cs="Times New Roman"/>
          <w:lang w:val="en-GB"/>
        </w:rPr>
        <w:t>, it</w:t>
      </w:r>
      <w:r w:rsidR="005D1BC3" w:rsidRPr="00347524">
        <w:rPr>
          <w:rFonts w:cs="Times New Roman"/>
          <w:lang w:val="en-GB"/>
        </w:rPr>
        <w:t xml:space="preserve"> does not ensure that free legal aid is provided </w:t>
      </w:r>
      <w:r w:rsidRPr="00347524">
        <w:rPr>
          <w:rFonts w:cs="Times New Roman"/>
          <w:lang w:val="en-GB"/>
        </w:rPr>
        <w:t xml:space="preserve">in all cases </w:t>
      </w:r>
      <w:r w:rsidR="005D1BC3" w:rsidRPr="00347524">
        <w:rPr>
          <w:rFonts w:cs="Times New Roman"/>
          <w:lang w:val="en-GB"/>
        </w:rPr>
        <w:t>when</w:t>
      </w:r>
      <w:r w:rsidR="003C49B8" w:rsidRPr="00347524">
        <w:rPr>
          <w:rFonts w:cs="Times New Roman"/>
          <w:lang w:val="en-GB"/>
        </w:rPr>
        <w:t xml:space="preserve"> </w:t>
      </w:r>
      <w:r w:rsidR="005D1BC3" w:rsidRPr="00347524">
        <w:rPr>
          <w:rFonts w:cs="Times New Roman"/>
          <w:lang w:val="en-GB"/>
        </w:rPr>
        <w:t>“the interest of justice so require”.</w:t>
      </w:r>
      <w:proofErr w:type="gramEnd"/>
      <w:r w:rsidR="005D1BC3" w:rsidRPr="00347524">
        <w:rPr>
          <w:rFonts w:cs="Times New Roman"/>
          <w:lang w:val="en-GB"/>
        </w:rPr>
        <w:t xml:space="preserve"> </w:t>
      </w:r>
    </w:p>
    <w:p w:rsidR="005D1BC3" w:rsidRPr="00347524" w:rsidRDefault="00DD0CD0" w:rsidP="003C49B8">
      <w:pPr>
        <w:spacing w:after="200" w:line="240" w:lineRule="auto"/>
        <w:rPr>
          <w:rFonts w:cs="Times New Roman"/>
          <w:lang w:val="en-GB"/>
        </w:rPr>
      </w:pPr>
      <w:r w:rsidRPr="00347524">
        <w:rPr>
          <w:rFonts w:cs="Times New Roman"/>
          <w:b/>
          <w:lang w:val="en-GB"/>
        </w:rPr>
        <w:t xml:space="preserve">Means testing: </w:t>
      </w:r>
      <w:r w:rsidR="00293D8A" w:rsidRPr="00347524">
        <w:rPr>
          <w:rFonts w:cs="Times New Roman"/>
          <w:lang w:val="en-GB"/>
        </w:rPr>
        <w:t>T</w:t>
      </w:r>
      <w:r w:rsidR="001B1ECA" w:rsidRPr="00347524">
        <w:rPr>
          <w:rFonts w:cs="Times New Roman"/>
          <w:lang w:val="en-GB"/>
        </w:rPr>
        <w:t>he Committee</w:t>
      </w:r>
      <w:r w:rsidR="005D1BC3" w:rsidRPr="00347524">
        <w:rPr>
          <w:rFonts w:cs="Times New Roman"/>
          <w:lang w:val="en-GB"/>
        </w:rPr>
        <w:t xml:space="preserve"> </w:t>
      </w:r>
      <w:r w:rsidR="00D15BBB" w:rsidRPr="00347524">
        <w:rPr>
          <w:rFonts w:cs="Times New Roman"/>
          <w:lang w:val="en-GB"/>
        </w:rPr>
        <w:t>expressed</w:t>
      </w:r>
      <w:r w:rsidR="005D1BC3" w:rsidRPr="00347524">
        <w:rPr>
          <w:rFonts w:cs="Times New Roman"/>
          <w:lang w:val="en-GB"/>
        </w:rPr>
        <w:t xml:space="preserve"> concern</w:t>
      </w:r>
      <w:r w:rsidR="00293D8A" w:rsidRPr="00347524">
        <w:rPr>
          <w:rFonts w:cs="Times New Roman"/>
          <w:lang w:val="en-GB"/>
        </w:rPr>
        <w:t xml:space="preserve"> in its 2011 Concluding </w:t>
      </w:r>
      <w:r w:rsidR="008F6FF2" w:rsidRPr="00347524">
        <w:rPr>
          <w:rFonts w:cs="Times New Roman"/>
          <w:lang w:val="en-GB"/>
        </w:rPr>
        <w:t>O</w:t>
      </w:r>
      <w:r w:rsidR="00293D8A" w:rsidRPr="00347524">
        <w:rPr>
          <w:rFonts w:cs="Times New Roman"/>
          <w:lang w:val="en-GB"/>
        </w:rPr>
        <w:t>bservations</w:t>
      </w:r>
      <w:r w:rsidR="005D1BC3" w:rsidRPr="00347524">
        <w:rPr>
          <w:rFonts w:cs="Times New Roman"/>
          <w:lang w:val="en-GB"/>
        </w:rPr>
        <w:t xml:space="preserve"> that the means-tested legal aid</w:t>
      </w:r>
      <w:r w:rsidR="00D95927" w:rsidRPr="00347524">
        <w:rPr>
          <w:rFonts w:cs="Times New Roman"/>
          <w:lang w:val="en-GB"/>
        </w:rPr>
        <w:t>,</w:t>
      </w:r>
      <w:r w:rsidR="005D1BC3" w:rsidRPr="00347524">
        <w:rPr>
          <w:rFonts w:cs="Times New Roman"/>
          <w:lang w:val="en-GB"/>
        </w:rPr>
        <w:t xml:space="preserve"> fail</w:t>
      </w:r>
      <w:r w:rsidR="001B1ECA" w:rsidRPr="00347524">
        <w:rPr>
          <w:rFonts w:cs="Times New Roman"/>
          <w:lang w:val="en-GB"/>
        </w:rPr>
        <w:t>ed</w:t>
      </w:r>
      <w:r w:rsidR="005D1BC3" w:rsidRPr="00347524">
        <w:rPr>
          <w:rFonts w:cs="Times New Roman"/>
          <w:lang w:val="en-GB"/>
        </w:rPr>
        <w:t xml:space="preserve"> to </w:t>
      </w:r>
      <w:r w:rsidR="00293D8A" w:rsidRPr="00347524">
        <w:rPr>
          <w:rFonts w:cs="Times New Roman"/>
          <w:lang w:val="en-GB"/>
        </w:rPr>
        <w:t>consider</w:t>
      </w:r>
      <w:r w:rsidR="005D1BC3" w:rsidRPr="00347524">
        <w:rPr>
          <w:rFonts w:cs="Times New Roman"/>
          <w:lang w:val="en-GB"/>
        </w:rPr>
        <w:t xml:space="preserve"> the actual circumstances of the applicants </w:t>
      </w:r>
      <w:r w:rsidR="00293D8A" w:rsidRPr="00347524">
        <w:rPr>
          <w:rFonts w:cs="Times New Roman"/>
          <w:lang w:val="en-GB"/>
        </w:rPr>
        <w:t xml:space="preserve">as well as </w:t>
      </w:r>
      <w:r w:rsidR="005D1BC3" w:rsidRPr="00347524">
        <w:rPr>
          <w:rFonts w:cs="Times New Roman"/>
          <w:lang w:val="en-GB"/>
        </w:rPr>
        <w:t>the actual cost of the legal service being sought</w:t>
      </w:r>
      <w:r w:rsidR="001B1ECA" w:rsidRPr="00347524">
        <w:rPr>
          <w:rFonts w:cs="Times New Roman"/>
          <w:lang w:val="en-GB"/>
        </w:rPr>
        <w:t>.</w:t>
      </w:r>
      <w:r w:rsidR="005D1BC3" w:rsidRPr="00347524">
        <w:rPr>
          <w:rStyle w:val="Fotnotereferanse"/>
          <w:rFonts w:cs="Times New Roman"/>
          <w:lang w:val="en-GB"/>
        </w:rPr>
        <w:footnoteReference w:id="21"/>
      </w:r>
      <w:r w:rsidR="005D1BC3" w:rsidRPr="00347524">
        <w:rPr>
          <w:rFonts w:cs="Times New Roman"/>
          <w:lang w:val="en-GB"/>
        </w:rPr>
        <w:t xml:space="preserve"> There has been no </w:t>
      </w:r>
      <w:r w:rsidR="00293D8A" w:rsidRPr="00347524">
        <w:rPr>
          <w:rFonts w:cs="Times New Roman"/>
          <w:lang w:val="en-GB"/>
        </w:rPr>
        <w:t xml:space="preserve">substantial </w:t>
      </w:r>
      <w:r w:rsidR="005D1BC3" w:rsidRPr="00347524">
        <w:rPr>
          <w:rFonts w:cs="Times New Roman"/>
          <w:lang w:val="en-GB"/>
        </w:rPr>
        <w:t xml:space="preserve">change in this situation. </w:t>
      </w:r>
    </w:p>
    <w:p w:rsidR="005D1BC3" w:rsidRPr="00347524" w:rsidRDefault="005D1BC3" w:rsidP="003C49B8">
      <w:pPr>
        <w:spacing w:line="240" w:lineRule="auto"/>
        <w:rPr>
          <w:rFonts w:cs="Times New Roman"/>
          <w:lang w:val="en-GB"/>
        </w:rPr>
      </w:pPr>
      <w:r w:rsidRPr="00347524">
        <w:rPr>
          <w:rFonts w:cs="Times New Roman"/>
          <w:lang w:val="en-GB"/>
        </w:rPr>
        <w:t xml:space="preserve">In cases that are subjected to means testing the income limits have not been adjusted since 2009. In the assessment of a person’s ability to pay for legal aid, neither debt nor burden of care is taken into consideration. The result </w:t>
      </w:r>
      <w:r w:rsidR="00293D8A" w:rsidRPr="00347524">
        <w:rPr>
          <w:rFonts w:cs="Times New Roman"/>
          <w:lang w:val="en-GB"/>
        </w:rPr>
        <w:t xml:space="preserve">is that many </w:t>
      </w:r>
      <w:r w:rsidRPr="00347524">
        <w:rPr>
          <w:rFonts w:cs="Times New Roman"/>
          <w:lang w:val="en-GB"/>
        </w:rPr>
        <w:t xml:space="preserve">people who are </w:t>
      </w:r>
      <w:r w:rsidR="00293D8A" w:rsidRPr="00347524">
        <w:rPr>
          <w:rFonts w:cs="Times New Roman"/>
          <w:lang w:val="en-GB"/>
        </w:rPr>
        <w:t xml:space="preserve">unable to </w:t>
      </w:r>
      <w:r w:rsidRPr="00347524">
        <w:rPr>
          <w:rFonts w:cs="Times New Roman"/>
          <w:lang w:val="en-GB"/>
        </w:rPr>
        <w:t>financ</w:t>
      </w:r>
      <w:r w:rsidR="00293D8A" w:rsidRPr="00347524">
        <w:rPr>
          <w:rFonts w:cs="Times New Roman"/>
          <w:lang w:val="en-GB"/>
        </w:rPr>
        <w:t>e legal aid themselves are excluded</w:t>
      </w:r>
      <w:r w:rsidRPr="00347524">
        <w:rPr>
          <w:rFonts w:cs="Times New Roman"/>
          <w:lang w:val="en-GB"/>
        </w:rPr>
        <w:t xml:space="preserve">. </w:t>
      </w:r>
    </w:p>
    <w:p w:rsidR="005D1BC3" w:rsidRPr="00347524" w:rsidRDefault="005D1BC3" w:rsidP="003C49B8">
      <w:pPr>
        <w:spacing w:line="240" w:lineRule="auto"/>
        <w:rPr>
          <w:rFonts w:cs="Times New Roman"/>
          <w:lang w:val="en-GB"/>
        </w:rPr>
      </w:pPr>
      <w:r w:rsidRPr="00347524">
        <w:rPr>
          <w:rFonts w:cs="Times New Roman"/>
          <w:lang w:val="en-GB"/>
        </w:rPr>
        <w:t xml:space="preserve">In 2016, </w:t>
      </w:r>
      <w:r w:rsidR="00293D8A" w:rsidRPr="00347524">
        <w:rPr>
          <w:rFonts w:cs="Times New Roman"/>
          <w:lang w:val="en-GB"/>
        </w:rPr>
        <w:t>the Parliament</w:t>
      </w:r>
      <w:r w:rsidR="00874153" w:rsidRPr="00347524">
        <w:rPr>
          <w:rFonts w:cs="Times New Roman"/>
          <w:lang w:val="en-GB"/>
        </w:rPr>
        <w:t xml:space="preserve"> (</w:t>
      </w:r>
      <w:proofErr w:type="spellStart"/>
      <w:r w:rsidR="00874153" w:rsidRPr="00347524">
        <w:rPr>
          <w:rFonts w:cs="Times New Roman"/>
          <w:lang w:val="en-GB"/>
        </w:rPr>
        <w:t>Stortinget</w:t>
      </w:r>
      <w:proofErr w:type="spellEnd"/>
      <w:r w:rsidR="00874153" w:rsidRPr="00347524">
        <w:rPr>
          <w:rFonts w:cs="Times New Roman"/>
          <w:lang w:val="en-GB"/>
        </w:rPr>
        <w:t>)</w:t>
      </w:r>
      <w:r w:rsidRPr="00347524">
        <w:rPr>
          <w:rFonts w:cs="Times New Roman"/>
          <w:lang w:val="en-GB"/>
        </w:rPr>
        <w:t xml:space="preserve"> </w:t>
      </w:r>
      <w:r w:rsidR="00293D8A" w:rsidRPr="00347524">
        <w:rPr>
          <w:rFonts w:cs="Times New Roman"/>
          <w:lang w:val="en-GB"/>
        </w:rPr>
        <w:t>adopted amendments that</w:t>
      </w:r>
      <w:r w:rsidR="00D95927" w:rsidRPr="00347524">
        <w:rPr>
          <w:rFonts w:cs="Times New Roman"/>
          <w:lang w:val="en-GB"/>
        </w:rPr>
        <w:t>,</w:t>
      </w:r>
      <w:r w:rsidR="00293D8A" w:rsidRPr="00347524">
        <w:rPr>
          <w:rFonts w:cs="Times New Roman"/>
          <w:lang w:val="en-GB"/>
        </w:rPr>
        <w:t xml:space="preserve"> in effect</w:t>
      </w:r>
      <w:r w:rsidR="00D95927" w:rsidRPr="00347524">
        <w:rPr>
          <w:rFonts w:cs="Times New Roman"/>
          <w:lang w:val="en-GB"/>
        </w:rPr>
        <w:t>,</w:t>
      </w:r>
      <w:r w:rsidR="00293D8A" w:rsidRPr="00347524">
        <w:rPr>
          <w:rFonts w:cs="Times New Roman"/>
          <w:lang w:val="en-GB"/>
        </w:rPr>
        <w:t xml:space="preserve"> </w:t>
      </w:r>
      <w:r w:rsidRPr="00347524">
        <w:rPr>
          <w:rFonts w:cs="Times New Roman"/>
          <w:lang w:val="en-GB"/>
        </w:rPr>
        <w:t>reduce</w:t>
      </w:r>
      <w:r w:rsidR="00293D8A" w:rsidRPr="00347524">
        <w:rPr>
          <w:rFonts w:cs="Times New Roman"/>
          <w:lang w:val="en-GB"/>
        </w:rPr>
        <w:t>d</w:t>
      </w:r>
      <w:r w:rsidRPr="00347524">
        <w:rPr>
          <w:rFonts w:cs="Times New Roman"/>
          <w:lang w:val="en-GB"/>
        </w:rPr>
        <w:t xml:space="preserve"> the legal aid scheme by increasing the excess equivalent for persons who receive means tested free legal aid. </w:t>
      </w:r>
      <w:r w:rsidR="00293D8A" w:rsidRPr="00347524">
        <w:rPr>
          <w:rFonts w:cs="Times New Roman"/>
          <w:lang w:val="en-GB"/>
        </w:rPr>
        <w:t>The</w:t>
      </w:r>
      <w:r w:rsidRPr="00347524">
        <w:rPr>
          <w:rFonts w:cs="Times New Roman"/>
          <w:lang w:val="en-GB"/>
        </w:rPr>
        <w:t xml:space="preserve"> amendment entered into force on </w:t>
      </w:r>
      <w:r w:rsidR="00D95927" w:rsidRPr="00347524">
        <w:rPr>
          <w:rFonts w:cs="Times New Roman"/>
          <w:lang w:val="en-GB"/>
        </w:rPr>
        <w:t>the 1</w:t>
      </w:r>
      <w:r w:rsidR="00D95927" w:rsidRPr="00347524">
        <w:rPr>
          <w:rFonts w:cs="Times New Roman"/>
          <w:vertAlign w:val="superscript"/>
          <w:lang w:val="en-GB"/>
        </w:rPr>
        <w:t>st</w:t>
      </w:r>
      <w:r w:rsidR="00D95927" w:rsidRPr="00347524">
        <w:rPr>
          <w:rFonts w:cs="Times New Roman"/>
          <w:lang w:val="en-GB"/>
        </w:rPr>
        <w:t xml:space="preserve"> of January 2017</w:t>
      </w:r>
      <w:r w:rsidRPr="00347524">
        <w:rPr>
          <w:rFonts w:cs="Times New Roman"/>
          <w:lang w:val="en-GB"/>
        </w:rPr>
        <w:t>. The increase is made without any possibility to apply for exemption from the excess equivalent. An absolute requirement to pay excess equivalent can in some cases lead to a human rights violation</w:t>
      </w:r>
      <w:r w:rsidR="004361CB" w:rsidRPr="00347524">
        <w:rPr>
          <w:rFonts w:cs="Times New Roman"/>
          <w:lang w:val="en-GB"/>
        </w:rPr>
        <w:t>.</w:t>
      </w:r>
      <w:r w:rsidRPr="00347524">
        <w:rPr>
          <w:rStyle w:val="Fotnotereferanse"/>
          <w:rFonts w:cs="Times New Roman"/>
          <w:lang w:val="en-GB"/>
        </w:rPr>
        <w:footnoteReference w:id="22"/>
      </w:r>
    </w:p>
    <w:p w:rsidR="005D1BC3" w:rsidRPr="00347524" w:rsidRDefault="005D1BC3" w:rsidP="003C49B8">
      <w:pPr>
        <w:spacing w:after="200" w:line="240" w:lineRule="auto"/>
        <w:rPr>
          <w:rFonts w:cs="Times New Roman"/>
          <w:lang w:val="en-GB"/>
        </w:rPr>
      </w:pPr>
      <w:r w:rsidRPr="00347524">
        <w:rPr>
          <w:rFonts w:cs="Times New Roman"/>
          <w:b/>
          <w:lang w:val="en-GB"/>
        </w:rPr>
        <w:t>Legal aid in civil cases</w:t>
      </w:r>
      <w:r w:rsidR="00DD0CD0" w:rsidRPr="00347524">
        <w:rPr>
          <w:rFonts w:cs="Times New Roman"/>
          <w:b/>
          <w:lang w:val="en-GB"/>
        </w:rPr>
        <w:t>,</w:t>
      </w:r>
      <w:r w:rsidRPr="00347524">
        <w:rPr>
          <w:rFonts w:cs="Times New Roman"/>
          <w:b/>
          <w:lang w:val="en-GB"/>
        </w:rPr>
        <w:t xml:space="preserve"> </w:t>
      </w:r>
      <w:r w:rsidR="00DD0CD0" w:rsidRPr="00347524">
        <w:rPr>
          <w:rFonts w:cs="Times New Roman"/>
          <w:b/>
          <w:lang w:val="en-GB"/>
        </w:rPr>
        <w:t>p</w:t>
      </w:r>
      <w:r w:rsidRPr="00347524">
        <w:rPr>
          <w:rFonts w:cs="Times New Roman"/>
          <w:b/>
          <w:lang w:val="en-GB"/>
        </w:rPr>
        <w:t>rioritized areas of law</w:t>
      </w:r>
      <w:r w:rsidR="008F6FF2" w:rsidRPr="00347524">
        <w:rPr>
          <w:rFonts w:cs="Times New Roman"/>
          <w:b/>
          <w:lang w:val="en-GB"/>
        </w:rPr>
        <w:t xml:space="preserve">: </w:t>
      </w:r>
      <w:r w:rsidR="008F6FF2" w:rsidRPr="00347524">
        <w:rPr>
          <w:rFonts w:cs="Times New Roman"/>
          <w:lang w:val="en-GB"/>
        </w:rPr>
        <w:t xml:space="preserve">The Committee also expressed concern </w:t>
      </w:r>
      <w:r w:rsidRPr="00347524">
        <w:rPr>
          <w:rFonts w:cs="Times New Roman"/>
          <w:lang w:val="en-GB"/>
        </w:rPr>
        <w:t>that for certain types of cases, legal aid is not available at all</w:t>
      </w:r>
      <w:r w:rsidR="008F6FF2" w:rsidRPr="00347524">
        <w:rPr>
          <w:rFonts w:cs="Times New Roman"/>
          <w:lang w:val="en-GB"/>
        </w:rPr>
        <w:t>.</w:t>
      </w:r>
      <w:r w:rsidRPr="00347524">
        <w:rPr>
          <w:rFonts w:cs="Times New Roman"/>
          <w:lang w:val="en-GB"/>
        </w:rPr>
        <w:t xml:space="preserve"> Today’s scheme </w:t>
      </w:r>
      <w:r w:rsidR="008F6FF2" w:rsidRPr="00347524">
        <w:rPr>
          <w:rFonts w:cs="Times New Roman"/>
          <w:lang w:val="en-GB"/>
        </w:rPr>
        <w:t xml:space="preserve">still </w:t>
      </w:r>
      <w:r w:rsidRPr="00347524">
        <w:rPr>
          <w:rFonts w:cs="Times New Roman"/>
          <w:lang w:val="en-GB"/>
        </w:rPr>
        <w:t xml:space="preserve">excludes areas of law that are important to </w:t>
      </w:r>
      <w:r w:rsidR="008F6FF2" w:rsidRPr="00347524">
        <w:rPr>
          <w:rFonts w:cs="Times New Roman"/>
          <w:lang w:val="en-GB"/>
        </w:rPr>
        <w:t xml:space="preserve">the </w:t>
      </w:r>
      <w:r w:rsidRPr="00347524">
        <w:rPr>
          <w:rFonts w:cs="Times New Roman"/>
          <w:lang w:val="en-GB"/>
        </w:rPr>
        <w:t xml:space="preserve">welfare of people and ultimately the protection of human rights. </w:t>
      </w:r>
    </w:p>
    <w:p w:rsidR="005D1BC3" w:rsidRPr="00347524" w:rsidRDefault="005D1BC3" w:rsidP="003C49B8">
      <w:pPr>
        <w:spacing w:line="240" w:lineRule="auto"/>
        <w:rPr>
          <w:rFonts w:cs="Times New Roman"/>
          <w:lang w:val="en-GB"/>
        </w:rPr>
      </w:pPr>
      <w:r w:rsidRPr="00347524">
        <w:rPr>
          <w:rFonts w:cs="Times New Roman"/>
          <w:lang w:val="en-GB"/>
        </w:rPr>
        <w:t xml:space="preserve">For example, cases regarding the Social Welfare Act are not covered by the Legal Aid Act. </w:t>
      </w:r>
      <w:r w:rsidR="008F6FF2" w:rsidRPr="00347524">
        <w:rPr>
          <w:rFonts w:cs="Times New Roman"/>
          <w:lang w:val="en-GB"/>
        </w:rPr>
        <w:t xml:space="preserve">The Act does cover, however – based on </w:t>
      </w:r>
      <w:r w:rsidRPr="00347524">
        <w:rPr>
          <w:rFonts w:cs="Times New Roman"/>
          <w:lang w:val="en-GB"/>
        </w:rPr>
        <w:t>means testing</w:t>
      </w:r>
      <w:r w:rsidR="008F6FF2" w:rsidRPr="00347524">
        <w:rPr>
          <w:rFonts w:cs="Times New Roman"/>
          <w:lang w:val="en-GB"/>
        </w:rPr>
        <w:t xml:space="preserve"> – </w:t>
      </w:r>
      <w:r w:rsidRPr="00347524">
        <w:rPr>
          <w:rFonts w:cs="Times New Roman"/>
          <w:lang w:val="en-GB"/>
        </w:rPr>
        <w:t xml:space="preserve">cases regarding </w:t>
      </w:r>
      <w:r w:rsidR="008F6FF2" w:rsidRPr="00347524">
        <w:rPr>
          <w:rFonts w:cs="Times New Roman"/>
          <w:lang w:val="en-GB"/>
        </w:rPr>
        <w:t>t</w:t>
      </w:r>
      <w:r w:rsidRPr="00347524">
        <w:rPr>
          <w:rFonts w:cs="Times New Roman"/>
          <w:lang w:val="en-GB"/>
        </w:rPr>
        <w:t>he National Insurance Act.</w:t>
      </w:r>
    </w:p>
    <w:p w:rsidR="008F6FF2" w:rsidRPr="00347524" w:rsidRDefault="005D1BC3" w:rsidP="003C49B8">
      <w:pPr>
        <w:spacing w:line="240" w:lineRule="auto"/>
        <w:rPr>
          <w:rFonts w:cs="Times New Roman"/>
          <w:lang w:val="en-GB"/>
        </w:rPr>
      </w:pPr>
      <w:r w:rsidRPr="00347524">
        <w:rPr>
          <w:rFonts w:cs="Times New Roman"/>
          <w:lang w:val="en-GB"/>
        </w:rPr>
        <w:t>Benefits from the Social Welfare Act are lower and far more unpredictable th</w:t>
      </w:r>
      <w:r w:rsidR="00460B16" w:rsidRPr="00347524">
        <w:rPr>
          <w:rFonts w:cs="Times New Roman"/>
          <w:lang w:val="en-GB"/>
        </w:rPr>
        <w:t>a</w:t>
      </w:r>
      <w:r w:rsidRPr="00347524">
        <w:rPr>
          <w:rFonts w:cs="Times New Roman"/>
          <w:lang w:val="en-GB"/>
        </w:rPr>
        <w:t xml:space="preserve">n </w:t>
      </w:r>
      <w:r w:rsidR="00460B16" w:rsidRPr="00347524">
        <w:rPr>
          <w:rFonts w:cs="Times New Roman"/>
          <w:lang w:val="en-GB"/>
        </w:rPr>
        <w:t xml:space="preserve">from </w:t>
      </w:r>
      <w:r w:rsidRPr="00347524">
        <w:rPr>
          <w:rFonts w:cs="Times New Roman"/>
          <w:lang w:val="en-GB"/>
        </w:rPr>
        <w:t xml:space="preserve">the National Insurance </w:t>
      </w:r>
      <w:r w:rsidR="00D95927" w:rsidRPr="00347524">
        <w:rPr>
          <w:rFonts w:cs="Times New Roman"/>
          <w:lang w:val="en-GB"/>
        </w:rPr>
        <w:t>A</w:t>
      </w:r>
      <w:r w:rsidRPr="00347524">
        <w:rPr>
          <w:rFonts w:cs="Times New Roman"/>
          <w:lang w:val="en-GB"/>
        </w:rPr>
        <w:t xml:space="preserve">ct. People who depend on social welfare benefits will in most cases not have any means to seek legal advice. </w:t>
      </w:r>
      <w:r w:rsidR="00D95927" w:rsidRPr="00347524">
        <w:rPr>
          <w:rFonts w:cs="Times New Roman"/>
          <w:lang w:val="en-GB"/>
        </w:rPr>
        <w:t>Therefore, a</w:t>
      </w:r>
      <w:r w:rsidRPr="00347524">
        <w:rPr>
          <w:rFonts w:cs="Times New Roman"/>
          <w:lang w:val="en-GB"/>
        </w:rPr>
        <w:t xml:space="preserve"> refusal of a benefit application can be detrimental to the </w:t>
      </w:r>
      <w:r w:rsidR="008F6FF2" w:rsidRPr="00347524">
        <w:rPr>
          <w:rFonts w:cs="Times New Roman"/>
          <w:lang w:val="en-GB"/>
        </w:rPr>
        <w:t>applicant’s</w:t>
      </w:r>
      <w:r w:rsidRPr="00347524">
        <w:rPr>
          <w:rFonts w:cs="Times New Roman"/>
          <w:lang w:val="en-GB"/>
        </w:rPr>
        <w:t xml:space="preserve"> health and safety, especially in cases involving families with children. </w:t>
      </w:r>
      <w:r w:rsidR="008F6FF2" w:rsidRPr="00347524">
        <w:rPr>
          <w:rFonts w:cs="Times New Roman"/>
          <w:lang w:val="en-GB"/>
        </w:rPr>
        <w:t>Such refusals may in many cases</w:t>
      </w:r>
      <w:r w:rsidRPr="00347524">
        <w:rPr>
          <w:rFonts w:cs="Times New Roman"/>
          <w:lang w:val="en-GB"/>
        </w:rPr>
        <w:t xml:space="preserve"> affect the applicant </w:t>
      </w:r>
      <w:r w:rsidRPr="00347524">
        <w:rPr>
          <w:rFonts w:cs="Times New Roman"/>
          <w:i/>
          <w:lang w:val="en-GB"/>
        </w:rPr>
        <w:t>significantly</w:t>
      </w:r>
      <w:r w:rsidRPr="00347524">
        <w:rPr>
          <w:rFonts w:cs="Times New Roman"/>
          <w:lang w:val="en-GB"/>
        </w:rPr>
        <w:t>.</w:t>
      </w:r>
    </w:p>
    <w:p w:rsidR="005D1BC3" w:rsidRPr="00347524" w:rsidRDefault="005D1BC3" w:rsidP="003C49B8">
      <w:pPr>
        <w:spacing w:line="240" w:lineRule="auto"/>
        <w:rPr>
          <w:rFonts w:cs="Times New Roman"/>
          <w:lang w:val="en-GB"/>
        </w:rPr>
      </w:pPr>
      <w:r w:rsidRPr="00347524">
        <w:rPr>
          <w:rFonts w:cs="Times New Roman"/>
          <w:lang w:val="en-GB"/>
        </w:rPr>
        <w:t xml:space="preserve">The distinction between National Insurance cases and Social Welfare cases, under the Legal Aid Act, does not seem to have any justifiable grounds. </w:t>
      </w:r>
      <w:r w:rsidR="008F6FF2" w:rsidRPr="00347524">
        <w:rPr>
          <w:rFonts w:cs="Times New Roman"/>
          <w:lang w:val="en-GB"/>
        </w:rPr>
        <w:t>It leaves persons depending on social welfare benefits vulnerable and with negligible legal protection.</w:t>
      </w:r>
    </w:p>
    <w:p w:rsidR="005D1BC3" w:rsidRPr="00347524" w:rsidRDefault="005D1BC3" w:rsidP="003C49B8">
      <w:pPr>
        <w:spacing w:line="240" w:lineRule="auto"/>
        <w:rPr>
          <w:rFonts w:cs="Times New Roman"/>
          <w:lang w:val="en-GB"/>
        </w:rPr>
      </w:pPr>
      <w:r w:rsidRPr="00347524">
        <w:rPr>
          <w:rFonts w:cs="Times New Roman"/>
          <w:lang w:val="en-GB"/>
        </w:rPr>
        <w:t>In cases regarding human rights violations, legal aid is still generally not available at the pre-trial stage for domestic courts and in the application stage for international human right bodies.</w:t>
      </w:r>
    </w:p>
    <w:p w:rsidR="005D1BC3" w:rsidRPr="00347524" w:rsidRDefault="00C904E3" w:rsidP="003C49B8">
      <w:pPr>
        <w:spacing w:line="240" w:lineRule="auto"/>
        <w:rPr>
          <w:rFonts w:cs="Times New Roman"/>
          <w:lang w:val="en-GB"/>
        </w:rPr>
      </w:pPr>
      <w:r w:rsidRPr="00347524">
        <w:rPr>
          <w:rFonts w:cs="Times New Roman"/>
          <w:lang w:val="en-GB"/>
        </w:rPr>
        <w:t xml:space="preserve">The </w:t>
      </w:r>
      <w:r w:rsidR="00D14072" w:rsidRPr="00347524">
        <w:rPr>
          <w:rFonts w:cs="Times New Roman"/>
          <w:lang w:val="en-GB"/>
        </w:rPr>
        <w:t>Government</w:t>
      </w:r>
      <w:r w:rsidRPr="00347524">
        <w:rPr>
          <w:rFonts w:cs="Times New Roman"/>
          <w:lang w:val="en-GB"/>
        </w:rPr>
        <w:t xml:space="preserve"> h</w:t>
      </w:r>
      <w:r w:rsidR="005D1BC3" w:rsidRPr="00347524">
        <w:rPr>
          <w:rFonts w:cs="Times New Roman"/>
          <w:lang w:val="en-GB"/>
        </w:rPr>
        <w:t xml:space="preserve">as suggested </w:t>
      </w:r>
      <w:r w:rsidR="00D95927" w:rsidRPr="00347524">
        <w:rPr>
          <w:rFonts w:cs="Times New Roman"/>
          <w:lang w:val="en-GB"/>
        </w:rPr>
        <w:t xml:space="preserve">excluding </w:t>
      </w:r>
      <w:r w:rsidR="005D1BC3" w:rsidRPr="00347524">
        <w:rPr>
          <w:rFonts w:cs="Times New Roman"/>
          <w:lang w:val="en-GB"/>
        </w:rPr>
        <w:t xml:space="preserve">means tested free legal </w:t>
      </w:r>
      <w:r w:rsidR="00D95927" w:rsidRPr="00347524">
        <w:rPr>
          <w:rFonts w:cs="Times New Roman"/>
          <w:lang w:val="en-GB"/>
        </w:rPr>
        <w:t xml:space="preserve">aid </w:t>
      </w:r>
      <w:r w:rsidR="009C3CB2" w:rsidRPr="00347524">
        <w:rPr>
          <w:rFonts w:cs="Times New Roman"/>
          <w:lang w:val="en-GB"/>
        </w:rPr>
        <w:t>from</w:t>
      </w:r>
      <w:r w:rsidR="005D1BC3" w:rsidRPr="00347524">
        <w:rPr>
          <w:rFonts w:cs="Times New Roman"/>
          <w:lang w:val="en-GB"/>
        </w:rPr>
        <w:t xml:space="preserve"> economic disputes in divorce cases. This </w:t>
      </w:r>
      <w:r w:rsidRPr="00347524">
        <w:rPr>
          <w:rFonts w:cs="Times New Roman"/>
          <w:lang w:val="en-GB"/>
        </w:rPr>
        <w:t>indicates</w:t>
      </w:r>
      <w:r w:rsidR="005D1BC3" w:rsidRPr="00347524">
        <w:rPr>
          <w:rFonts w:cs="Times New Roman"/>
          <w:lang w:val="en-GB"/>
        </w:rPr>
        <w:t xml:space="preserve"> that the </w:t>
      </w:r>
      <w:r w:rsidRPr="00347524">
        <w:rPr>
          <w:rFonts w:cs="Times New Roman"/>
          <w:lang w:val="en-GB"/>
        </w:rPr>
        <w:t>Government</w:t>
      </w:r>
      <w:r w:rsidR="00D95927" w:rsidRPr="00347524">
        <w:rPr>
          <w:rFonts w:cs="Times New Roman"/>
          <w:lang w:val="en-GB"/>
        </w:rPr>
        <w:t>,</w:t>
      </w:r>
      <w:r w:rsidR="005D1BC3" w:rsidRPr="00347524">
        <w:rPr>
          <w:rFonts w:cs="Times New Roman"/>
          <w:lang w:val="en-GB"/>
        </w:rPr>
        <w:t xml:space="preserve"> rather than </w:t>
      </w:r>
      <w:r w:rsidRPr="00347524">
        <w:rPr>
          <w:rFonts w:cs="Times New Roman"/>
          <w:lang w:val="en-GB"/>
        </w:rPr>
        <w:t>being determined to strengthen</w:t>
      </w:r>
      <w:r w:rsidR="005D1BC3" w:rsidRPr="00347524">
        <w:rPr>
          <w:rFonts w:cs="Times New Roman"/>
          <w:lang w:val="en-GB"/>
        </w:rPr>
        <w:t xml:space="preserve"> free legal aid</w:t>
      </w:r>
      <w:r w:rsidRPr="00347524">
        <w:rPr>
          <w:rFonts w:cs="Times New Roman"/>
          <w:lang w:val="en-GB"/>
        </w:rPr>
        <w:t xml:space="preserve"> schemes, on the contrary plan</w:t>
      </w:r>
      <w:r w:rsidR="00460B16" w:rsidRPr="00347524">
        <w:rPr>
          <w:rFonts w:cs="Times New Roman"/>
          <w:lang w:val="en-GB"/>
        </w:rPr>
        <w:t>s</w:t>
      </w:r>
      <w:r w:rsidRPr="00347524">
        <w:rPr>
          <w:rFonts w:cs="Times New Roman"/>
          <w:lang w:val="en-GB"/>
        </w:rPr>
        <w:t xml:space="preserve"> to reduce</w:t>
      </w:r>
      <w:r w:rsidR="00460B16" w:rsidRPr="00347524">
        <w:rPr>
          <w:rFonts w:cs="Times New Roman"/>
          <w:lang w:val="en-GB"/>
        </w:rPr>
        <w:t xml:space="preserve"> them</w:t>
      </w:r>
      <w:r w:rsidR="005D1BC3" w:rsidRPr="00347524">
        <w:rPr>
          <w:rFonts w:cs="Times New Roman"/>
          <w:lang w:val="en-GB"/>
        </w:rPr>
        <w:t>.</w:t>
      </w:r>
    </w:p>
    <w:p w:rsidR="005D1BC3" w:rsidRPr="00347524" w:rsidRDefault="005D1BC3" w:rsidP="003C49B8">
      <w:pPr>
        <w:spacing w:line="240" w:lineRule="auto"/>
        <w:rPr>
          <w:rFonts w:cs="Times New Roman"/>
          <w:b/>
          <w:lang w:val="en-GB"/>
        </w:rPr>
      </w:pPr>
      <w:r w:rsidRPr="00347524">
        <w:rPr>
          <w:rFonts w:cs="Times New Roman"/>
          <w:b/>
          <w:lang w:val="en-GB"/>
        </w:rPr>
        <w:t xml:space="preserve">Recommendations: </w:t>
      </w:r>
    </w:p>
    <w:p w:rsidR="005D1BC3" w:rsidRPr="00347524" w:rsidRDefault="00460B16" w:rsidP="003C49B8">
      <w:pPr>
        <w:pStyle w:val="Listeavsnitt"/>
        <w:numPr>
          <w:ilvl w:val="0"/>
          <w:numId w:val="43"/>
        </w:numPr>
        <w:spacing w:after="0" w:line="240" w:lineRule="auto"/>
        <w:rPr>
          <w:rFonts w:cs="Times New Roman"/>
          <w:lang w:val="en-GB"/>
        </w:rPr>
      </w:pPr>
      <w:r w:rsidRPr="00347524">
        <w:rPr>
          <w:rFonts w:cs="Times New Roman"/>
          <w:lang w:val="en-GB"/>
        </w:rPr>
        <w:t>R</w:t>
      </w:r>
      <w:r w:rsidR="005D1BC3" w:rsidRPr="00347524">
        <w:rPr>
          <w:rFonts w:cs="Times New Roman"/>
          <w:lang w:val="en-GB"/>
        </w:rPr>
        <w:t xml:space="preserve">eview </w:t>
      </w:r>
      <w:r w:rsidRPr="00347524">
        <w:rPr>
          <w:rFonts w:cs="Times New Roman"/>
          <w:lang w:val="en-GB"/>
        </w:rPr>
        <w:t>the</w:t>
      </w:r>
      <w:r w:rsidR="005D1BC3" w:rsidRPr="00347524">
        <w:rPr>
          <w:rFonts w:cs="Times New Roman"/>
          <w:lang w:val="en-GB"/>
        </w:rPr>
        <w:t xml:space="preserve"> free legal aid scheme to </w:t>
      </w:r>
      <w:r w:rsidR="005529E5" w:rsidRPr="00347524">
        <w:rPr>
          <w:rFonts w:cs="Times New Roman"/>
          <w:lang w:val="en-GB"/>
        </w:rPr>
        <w:t xml:space="preserve">allow for the provision of </w:t>
      </w:r>
      <w:r w:rsidR="005D1BC3" w:rsidRPr="00347524">
        <w:rPr>
          <w:rFonts w:cs="Times New Roman"/>
          <w:lang w:val="en-GB"/>
        </w:rPr>
        <w:t xml:space="preserve">free legal </w:t>
      </w:r>
      <w:r w:rsidR="00F10D73" w:rsidRPr="00347524">
        <w:rPr>
          <w:rFonts w:cs="Times New Roman"/>
          <w:lang w:val="en-GB"/>
        </w:rPr>
        <w:t>aid</w:t>
      </w:r>
      <w:r w:rsidR="005D1BC3" w:rsidRPr="00347524">
        <w:rPr>
          <w:rFonts w:cs="Times New Roman"/>
          <w:lang w:val="en-GB"/>
        </w:rPr>
        <w:t xml:space="preserve"> in any case where the interest of justice so </w:t>
      </w:r>
      <w:r w:rsidR="003C49B8" w:rsidRPr="00347524">
        <w:rPr>
          <w:rFonts w:cs="Times New Roman"/>
          <w:lang w:val="en-GB"/>
        </w:rPr>
        <w:t>requires</w:t>
      </w:r>
      <w:r w:rsidR="00F10D73" w:rsidRPr="00347524">
        <w:rPr>
          <w:rFonts w:cs="Times New Roman"/>
          <w:lang w:val="en-GB"/>
        </w:rPr>
        <w:t>;</w:t>
      </w:r>
    </w:p>
    <w:p w:rsidR="005D1BC3" w:rsidRPr="00347524" w:rsidRDefault="005D1BC3" w:rsidP="003C49B8">
      <w:pPr>
        <w:pStyle w:val="Listeavsnitt"/>
        <w:numPr>
          <w:ilvl w:val="0"/>
          <w:numId w:val="43"/>
        </w:numPr>
        <w:spacing w:after="0" w:line="240" w:lineRule="auto"/>
        <w:rPr>
          <w:rFonts w:cs="Times New Roman"/>
          <w:lang w:val="en-GB"/>
        </w:rPr>
      </w:pPr>
      <w:r w:rsidRPr="00347524">
        <w:rPr>
          <w:rFonts w:cs="Times New Roman"/>
          <w:lang w:val="en-GB"/>
        </w:rPr>
        <w:t xml:space="preserve">The assessment of a person’s ability to pay for legal aid should be based on the actual financial ability of the </w:t>
      </w:r>
      <w:r w:rsidR="005529E5" w:rsidRPr="00347524">
        <w:rPr>
          <w:rFonts w:cs="Times New Roman"/>
          <w:lang w:val="en-GB"/>
        </w:rPr>
        <w:t xml:space="preserve">individual and should </w:t>
      </w:r>
      <w:r w:rsidR="003C49B8" w:rsidRPr="00347524">
        <w:rPr>
          <w:rFonts w:cs="Times New Roman"/>
          <w:lang w:val="en-GB"/>
        </w:rPr>
        <w:t>consider</w:t>
      </w:r>
      <w:r w:rsidR="005529E5" w:rsidRPr="00347524">
        <w:rPr>
          <w:rFonts w:cs="Times New Roman"/>
          <w:lang w:val="en-GB"/>
        </w:rPr>
        <w:t xml:space="preserve"> both the debt of the individual and the burden of care</w:t>
      </w:r>
      <w:r w:rsidR="00F10D73" w:rsidRPr="00347524">
        <w:rPr>
          <w:rFonts w:cs="Times New Roman"/>
          <w:lang w:val="en-GB"/>
        </w:rPr>
        <w:t>;</w:t>
      </w:r>
    </w:p>
    <w:p w:rsidR="005D1BC3" w:rsidRPr="00347524" w:rsidRDefault="00460B16" w:rsidP="003C49B8">
      <w:pPr>
        <w:pStyle w:val="Listeavsnitt"/>
        <w:numPr>
          <w:ilvl w:val="0"/>
          <w:numId w:val="43"/>
        </w:numPr>
        <w:spacing w:after="0" w:line="240" w:lineRule="auto"/>
        <w:rPr>
          <w:rFonts w:cs="Times New Roman"/>
          <w:lang w:val="en-GB"/>
        </w:rPr>
      </w:pPr>
      <w:r w:rsidRPr="00347524">
        <w:rPr>
          <w:rFonts w:cs="Times New Roman"/>
          <w:lang w:val="en-GB"/>
        </w:rPr>
        <w:t>A</w:t>
      </w:r>
      <w:r w:rsidR="005D1BC3" w:rsidRPr="00347524">
        <w:rPr>
          <w:rFonts w:cs="Times New Roman"/>
          <w:lang w:val="en-GB"/>
        </w:rPr>
        <w:t>mend the means</w:t>
      </w:r>
      <w:r w:rsidR="003C49B8" w:rsidRPr="00347524">
        <w:rPr>
          <w:rFonts w:cs="Times New Roman"/>
          <w:lang w:val="en-GB"/>
        </w:rPr>
        <w:t xml:space="preserve"> </w:t>
      </w:r>
      <w:r w:rsidR="005D1BC3" w:rsidRPr="00347524">
        <w:rPr>
          <w:rFonts w:cs="Times New Roman"/>
          <w:lang w:val="en-GB"/>
        </w:rPr>
        <w:t>testing to better reflect the actual circumstances of the applicants and with regards to the actual cost of the legal service being sought.</w:t>
      </w:r>
    </w:p>
    <w:p w:rsidR="00AC3438" w:rsidRPr="00347524" w:rsidRDefault="00AC3438" w:rsidP="003C49B8">
      <w:pPr>
        <w:spacing w:after="200" w:line="240" w:lineRule="auto"/>
        <w:ind w:left="360"/>
        <w:rPr>
          <w:rFonts w:cs="Times New Roman"/>
          <w:lang w:val="en-GB"/>
        </w:rPr>
      </w:pPr>
    </w:p>
    <w:p w:rsidR="0045055E" w:rsidRPr="008C5695" w:rsidRDefault="0045055E" w:rsidP="003C49B8">
      <w:pPr>
        <w:pStyle w:val="Overskrift1"/>
        <w:spacing w:before="0" w:line="240" w:lineRule="auto"/>
        <w:rPr>
          <w:rFonts w:asciiTheme="minorHAnsi" w:hAnsiTheme="minorHAnsi"/>
          <w:color w:val="1F497D" w:themeColor="text2"/>
          <w:szCs w:val="22"/>
          <w:lang w:val="en-GB"/>
        </w:rPr>
      </w:pPr>
      <w:bookmarkStart w:id="6" w:name="_Hlk505876329"/>
      <w:bookmarkStart w:id="7" w:name="_Toc508351736"/>
      <w:r w:rsidRPr="008C5695">
        <w:rPr>
          <w:rFonts w:asciiTheme="minorHAnsi" w:hAnsiTheme="minorHAnsi"/>
          <w:color w:val="1F497D" w:themeColor="text2"/>
          <w:szCs w:val="22"/>
          <w:lang w:val="en-GB"/>
        </w:rPr>
        <w:t>16-17 Refugees and asylum seekers (arts. 2, 7, 9 and 13)</w:t>
      </w:r>
      <w:bookmarkEnd w:id="7"/>
    </w:p>
    <w:p w:rsidR="00E95041" w:rsidRPr="00347524" w:rsidRDefault="00E95041" w:rsidP="003C49B8">
      <w:pPr>
        <w:spacing w:line="240" w:lineRule="auto"/>
        <w:rPr>
          <w:rFonts w:cs="Times New Roman"/>
          <w:lang w:val="en-GB"/>
        </w:rPr>
      </w:pPr>
    </w:p>
    <w:p w:rsidR="00872597" w:rsidRPr="00347524" w:rsidRDefault="00872597" w:rsidP="003C49B8">
      <w:pPr>
        <w:spacing w:line="240" w:lineRule="auto"/>
        <w:rPr>
          <w:rFonts w:cs="Times New Roman"/>
          <w:b/>
          <w:lang w:val="en-GB"/>
        </w:rPr>
      </w:pPr>
      <w:r w:rsidRPr="00347524">
        <w:rPr>
          <w:rFonts w:cs="Times New Roman"/>
          <w:b/>
          <w:lang w:val="en-GB"/>
        </w:rPr>
        <w:t>16. Detention of asylum seekers</w:t>
      </w:r>
    </w:p>
    <w:p w:rsidR="00872597" w:rsidRPr="00347524" w:rsidRDefault="00872597" w:rsidP="003C49B8">
      <w:pPr>
        <w:tabs>
          <w:tab w:val="left" w:pos="567"/>
        </w:tabs>
        <w:spacing w:line="240" w:lineRule="auto"/>
        <w:rPr>
          <w:lang w:val="en-GB"/>
        </w:rPr>
      </w:pPr>
      <w:r w:rsidRPr="00347524">
        <w:rPr>
          <w:rFonts w:cs="Times New Roman"/>
          <w:b/>
          <w:lang w:val="en-GB"/>
        </w:rPr>
        <w:t xml:space="preserve">Necessity of detention: </w:t>
      </w:r>
      <w:r w:rsidRPr="00347524">
        <w:rPr>
          <w:lang w:val="en-GB"/>
        </w:rPr>
        <w:t>The Ministry of Justice and Public Security has</w:t>
      </w:r>
      <w:r w:rsidR="009C3CB2" w:rsidRPr="00347524">
        <w:rPr>
          <w:lang w:val="en-GB"/>
        </w:rPr>
        <w:t>,</w:t>
      </w:r>
      <w:r w:rsidRPr="00347524">
        <w:rPr>
          <w:lang w:val="en-GB"/>
        </w:rPr>
        <w:t xml:space="preserve"> in preparatory work</w:t>
      </w:r>
      <w:r w:rsidR="003C49B8" w:rsidRPr="00347524">
        <w:rPr>
          <w:lang w:val="en-GB"/>
        </w:rPr>
        <w:t>s</w:t>
      </w:r>
      <w:r w:rsidRPr="00347524">
        <w:rPr>
          <w:lang w:val="en-GB"/>
        </w:rPr>
        <w:t xml:space="preserve"> to </w:t>
      </w:r>
      <w:r w:rsidR="003C49B8" w:rsidRPr="00347524">
        <w:rPr>
          <w:lang w:val="en-GB"/>
        </w:rPr>
        <w:t xml:space="preserve">a </w:t>
      </w:r>
      <w:r w:rsidRPr="00347524">
        <w:rPr>
          <w:lang w:val="en-GB"/>
        </w:rPr>
        <w:t>recent law amendment</w:t>
      </w:r>
      <w:r w:rsidR="003C49B8" w:rsidRPr="00347524">
        <w:rPr>
          <w:lang w:val="en-GB"/>
        </w:rPr>
        <w:t xml:space="preserve"> on immigration detention</w:t>
      </w:r>
      <w:r w:rsidR="009C3CB2" w:rsidRPr="00347524">
        <w:rPr>
          <w:lang w:val="en-GB"/>
        </w:rPr>
        <w:t>,</w:t>
      </w:r>
      <w:r w:rsidRPr="00347524">
        <w:rPr>
          <w:lang w:val="en-GB"/>
        </w:rPr>
        <w:t xml:space="preserve"> stated that the </w:t>
      </w:r>
      <w:r w:rsidR="008C155D" w:rsidRPr="00347524">
        <w:rPr>
          <w:lang w:val="en-GB"/>
        </w:rPr>
        <w:t>Covenant</w:t>
      </w:r>
      <w:r w:rsidRPr="00347524">
        <w:rPr>
          <w:lang w:val="en-GB"/>
        </w:rPr>
        <w:t xml:space="preserve"> article</w:t>
      </w:r>
      <w:r w:rsidR="00F459E9" w:rsidRPr="00347524">
        <w:rPr>
          <w:lang w:val="en-GB"/>
        </w:rPr>
        <w:t>s</w:t>
      </w:r>
      <w:r w:rsidRPr="00347524">
        <w:rPr>
          <w:lang w:val="en-GB"/>
        </w:rPr>
        <w:t xml:space="preserve"> 9(1) and 12(1) do not provide </w:t>
      </w:r>
      <w:r w:rsidR="002744E5" w:rsidRPr="00347524">
        <w:rPr>
          <w:lang w:val="en-GB"/>
        </w:rPr>
        <w:t>stronger</w:t>
      </w:r>
      <w:r w:rsidRPr="00347524">
        <w:rPr>
          <w:lang w:val="en-GB"/>
        </w:rPr>
        <w:t xml:space="preserve"> protection than the European Convention on Human Rights’ article 5(1)(f).</w:t>
      </w:r>
      <w:r w:rsidRPr="00347524">
        <w:rPr>
          <w:rStyle w:val="Fotnotereferanse"/>
          <w:lang w:val="en-GB"/>
        </w:rPr>
        <w:footnoteReference w:id="23"/>
      </w:r>
      <w:r w:rsidRPr="00347524">
        <w:rPr>
          <w:lang w:val="en-GB"/>
        </w:rPr>
        <w:t xml:space="preserve"> </w:t>
      </w:r>
      <w:r w:rsidR="0018685F" w:rsidRPr="00347524">
        <w:rPr>
          <w:lang w:val="en-GB"/>
        </w:rPr>
        <w:t>This is not in line with current case-law</w:t>
      </w:r>
      <w:r w:rsidRPr="00347524">
        <w:rPr>
          <w:lang w:val="en-GB"/>
        </w:rPr>
        <w:t xml:space="preserve">, as </w:t>
      </w:r>
      <w:r w:rsidRPr="00347524">
        <w:rPr>
          <w:rFonts w:cs="Times New Roman"/>
          <w:lang w:val="en-GB"/>
        </w:rPr>
        <w:t xml:space="preserve">following </w:t>
      </w:r>
      <w:r w:rsidR="00BA20EE" w:rsidRPr="00347524">
        <w:rPr>
          <w:rFonts w:cs="Times New Roman"/>
          <w:lang w:val="en-GB"/>
        </w:rPr>
        <w:t>reasoning by the European Court of Human Rights’</w:t>
      </w:r>
      <w:r w:rsidRPr="00347524">
        <w:rPr>
          <w:rFonts w:cs="Times New Roman"/>
          <w:lang w:val="en-GB"/>
        </w:rPr>
        <w:t xml:space="preserve"> in </w:t>
      </w:r>
      <w:proofErr w:type="spellStart"/>
      <w:r w:rsidRPr="00347524">
        <w:rPr>
          <w:i/>
          <w:lang w:val="en-GB"/>
        </w:rPr>
        <w:t>Saadi</w:t>
      </w:r>
      <w:proofErr w:type="spellEnd"/>
      <w:r w:rsidRPr="00347524">
        <w:rPr>
          <w:i/>
          <w:lang w:val="en-GB"/>
        </w:rPr>
        <w:t xml:space="preserve"> v. UK</w:t>
      </w:r>
      <w:r w:rsidRPr="00347524">
        <w:rPr>
          <w:lang w:val="en-GB"/>
        </w:rPr>
        <w:t xml:space="preserve">, there is no requirement of necessity of detention under </w:t>
      </w:r>
      <w:r w:rsidR="00BA20EE" w:rsidRPr="00347524">
        <w:rPr>
          <w:lang w:val="en-GB"/>
        </w:rPr>
        <w:t>article 5(1)(f) of</w:t>
      </w:r>
      <w:r w:rsidR="00437A0C" w:rsidRPr="00347524">
        <w:rPr>
          <w:lang w:val="en-GB"/>
        </w:rPr>
        <w:t xml:space="preserve"> European Convention on Human Rights (</w:t>
      </w:r>
      <w:r w:rsidRPr="00347524">
        <w:rPr>
          <w:lang w:val="en-GB"/>
        </w:rPr>
        <w:t>ECHR</w:t>
      </w:r>
      <w:r w:rsidR="00437A0C" w:rsidRPr="00347524">
        <w:rPr>
          <w:lang w:val="en-GB"/>
        </w:rPr>
        <w:t>)</w:t>
      </w:r>
      <w:r w:rsidRPr="00347524">
        <w:rPr>
          <w:lang w:val="en-GB"/>
        </w:rPr>
        <w:t>.</w:t>
      </w:r>
      <w:r w:rsidRPr="00347524">
        <w:rPr>
          <w:rStyle w:val="Fotnotereferanse"/>
          <w:lang w:val="en-GB"/>
        </w:rPr>
        <w:footnoteReference w:id="24"/>
      </w:r>
    </w:p>
    <w:p w:rsidR="00872597" w:rsidRPr="00347524" w:rsidRDefault="0018685F" w:rsidP="00BA20EE">
      <w:pPr>
        <w:tabs>
          <w:tab w:val="left" w:pos="567"/>
        </w:tabs>
        <w:spacing w:line="240" w:lineRule="auto"/>
        <w:rPr>
          <w:lang w:val="en-GB"/>
        </w:rPr>
      </w:pPr>
      <w:r w:rsidRPr="00347524">
        <w:rPr>
          <w:lang w:val="en-GB"/>
        </w:rPr>
        <w:t xml:space="preserve">The Norwegian authorities fail to assess whether the Covenant is fully complied with in this context, referring only to the European Convention on Human Rights and the European Court of Human Rights case-law. </w:t>
      </w:r>
      <w:r w:rsidR="00BA20EE" w:rsidRPr="00347524">
        <w:rPr>
          <w:lang w:val="en-GB"/>
        </w:rPr>
        <w:t>In the Huma</w:t>
      </w:r>
      <w:r w:rsidR="00BE3985" w:rsidRPr="00347524">
        <w:rPr>
          <w:lang w:val="en-GB"/>
        </w:rPr>
        <w:t>n</w:t>
      </w:r>
      <w:r w:rsidR="00BA20EE" w:rsidRPr="00347524">
        <w:rPr>
          <w:lang w:val="en-GB"/>
        </w:rPr>
        <w:t xml:space="preserve"> Rights Committee’s case law, detention must be lawful as well as necessary and proportional.</w:t>
      </w:r>
      <w:r w:rsidR="00BA20EE" w:rsidRPr="00347524">
        <w:rPr>
          <w:rStyle w:val="Fotnotereferanse"/>
          <w:lang w:val="en-GB"/>
        </w:rPr>
        <w:footnoteReference w:id="25"/>
      </w:r>
      <w:r w:rsidR="00BA20EE" w:rsidRPr="00347524">
        <w:rPr>
          <w:lang w:val="en-GB"/>
        </w:rPr>
        <w:t xml:space="preserve"> The requirement of necessity further implies that detention must not be imposed on grounds of administrative expediency.</w:t>
      </w:r>
      <w:r w:rsidR="00872597" w:rsidRPr="00347524">
        <w:rPr>
          <w:rStyle w:val="Fotnotereferanse"/>
          <w:sz w:val="20"/>
          <w:szCs w:val="20"/>
          <w:lang w:val="en-GB"/>
        </w:rPr>
        <w:footnoteReference w:id="26"/>
      </w:r>
    </w:p>
    <w:p w:rsidR="00D2584A" w:rsidRPr="00347524" w:rsidRDefault="00872597" w:rsidP="003C49B8">
      <w:pPr>
        <w:spacing w:line="240" w:lineRule="auto"/>
        <w:rPr>
          <w:lang w:val="en-GB"/>
        </w:rPr>
      </w:pPr>
      <w:r w:rsidRPr="00347524">
        <w:rPr>
          <w:lang w:val="en-GB"/>
        </w:rPr>
        <w:t>The</w:t>
      </w:r>
      <w:r w:rsidR="00F067C3" w:rsidRPr="00347524">
        <w:rPr>
          <w:lang w:val="en-GB"/>
        </w:rPr>
        <w:t xml:space="preserve"> Norwegian</w:t>
      </w:r>
      <w:r w:rsidRPr="00347524">
        <w:rPr>
          <w:lang w:val="en-GB"/>
        </w:rPr>
        <w:t xml:space="preserve"> Immigration Act has recently been amended several times, introducing new legal grounds for detention. The Act now contains provisions</w:t>
      </w:r>
      <w:r w:rsidR="005529E5" w:rsidRPr="00347524">
        <w:rPr>
          <w:lang w:val="en-GB"/>
        </w:rPr>
        <w:t>,</w:t>
      </w:r>
      <w:r w:rsidRPr="00347524">
        <w:rPr>
          <w:lang w:val="en-GB"/>
        </w:rPr>
        <w:t xml:space="preserve"> </w:t>
      </w:r>
      <w:r w:rsidR="009E2B05" w:rsidRPr="00347524">
        <w:rPr>
          <w:lang w:val="en-GB"/>
        </w:rPr>
        <w:t xml:space="preserve">that allow an applicant to be detained </w:t>
      </w:r>
      <w:r w:rsidR="00F42BB6" w:rsidRPr="00347524">
        <w:rPr>
          <w:lang w:val="en-GB"/>
        </w:rPr>
        <w:t>if</w:t>
      </w:r>
      <w:r w:rsidRPr="00347524">
        <w:rPr>
          <w:lang w:val="en-GB"/>
        </w:rPr>
        <w:t xml:space="preserve"> an application for asylum is likely not to be assessed on the merits (Section 106(1)(g)) and if the application is considered manifestly</w:t>
      </w:r>
      <w:r w:rsidR="00D2584A" w:rsidRPr="00347524">
        <w:rPr>
          <w:lang w:val="en-GB"/>
        </w:rPr>
        <w:t xml:space="preserve"> unfounded (Section 106(1)(h)).</w:t>
      </w:r>
      <w:r w:rsidR="00F067C3" w:rsidRPr="00347524">
        <w:rPr>
          <w:lang w:val="en-GB"/>
        </w:rPr>
        <w:t xml:space="preserve"> The </w:t>
      </w:r>
      <w:r w:rsidR="00DA3052" w:rsidRPr="00347524">
        <w:rPr>
          <w:lang w:val="en-GB"/>
        </w:rPr>
        <w:t>Government</w:t>
      </w:r>
      <w:r w:rsidR="00F067C3" w:rsidRPr="00347524">
        <w:rPr>
          <w:lang w:val="en-GB"/>
        </w:rPr>
        <w:t xml:space="preserve"> has not assessed whether the amendments are in </w:t>
      </w:r>
      <w:r w:rsidR="000A4A2A" w:rsidRPr="00347524">
        <w:rPr>
          <w:lang w:val="en-GB"/>
        </w:rPr>
        <w:t>compliance</w:t>
      </w:r>
      <w:r w:rsidR="00F067C3" w:rsidRPr="00347524">
        <w:rPr>
          <w:lang w:val="en-GB"/>
        </w:rPr>
        <w:t xml:space="preserve"> with the Covenant.</w:t>
      </w:r>
    </w:p>
    <w:p w:rsidR="00D2584A" w:rsidRPr="00347524" w:rsidRDefault="00872597" w:rsidP="003C49B8">
      <w:pPr>
        <w:spacing w:line="240" w:lineRule="auto"/>
        <w:rPr>
          <w:lang w:val="en-GB"/>
        </w:rPr>
      </w:pPr>
      <w:r w:rsidRPr="00347524">
        <w:rPr>
          <w:lang w:val="en-GB"/>
        </w:rPr>
        <w:t xml:space="preserve">The preparatory works to the provisions explicitly state that the purpose of the provisions </w:t>
      </w:r>
      <w:r w:rsidR="00F067C3" w:rsidRPr="00347524">
        <w:rPr>
          <w:lang w:val="en-GB"/>
        </w:rPr>
        <w:t>is</w:t>
      </w:r>
      <w:r w:rsidR="005529E5" w:rsidRPr="00347524">
        <w:rPr>
          <w:lang w:val="en-GB"/>
        </w:rPr>
        <w:t xml:space="preserve"> </w:t>
      </w:r>
      <w:r w:rsidRPr="00347524">
        <w:rPr>
          <w:lang w:val="en-GB"/>
        </w:rPr>
        <w:t>to ensure fast, efficient return procedures.</w:t>
      </w:r>
      <w:r w:rsidRPr="00347524">
        <w:rPr>
          <w:rStyle w:val="Fotnotereferanse"/>
          <w:lang w:val="en-GB"/>
        </w:rPr>
        <w:footnoteReference w:id="27"/>
      </w:r>
      <w:r w:rsidRPr="00347524">
        <w:rPr>
          <w:lang w:val="en-GB"/>
        </w:rPr>
        <w:t xml:space="preserve"> Such objectives of administrative expediency are not permissible under the </w:t>
      </w:r>
      <w:r w:rsidR="008C155D" w:rsidRPr="00347524">
        <w:rPr>
          <w:lang w:val="en-GB"/>
        </w:rPr>
        <w:t>Covenant</w:t>
      </w:r>
      <w:r w:rsidRPr="00347524">
        <w:rPr>
          <w:lang w:val="en-GB"/>
        </w:rPr>
        <w:t>.</w:t>
      </w:r>
      <w:r w:rsidRPr="00347524">
        <w:rPr>
          <w:rStyle w:val="Fotnotereferanse"/>
          <w:lang w:val="en-GB"/>
        </w:rPr>
        <w:footnoteReference w:id="28"/>
      </w:r>
    </w:p>
    <w:p w:rsidR="00872597" w:rsidRPr="00347524" w:rsidRDefault="00872597" w:rsidP="003C49B8">
      <w:pPr>
        <w:spacing w:line="240" w:lineRule="auto"/>
        <w:rPr>
          <w:lang w:val="en-GB"/>
        </w:rPr>
      </w:pPr>
      <w:r w:rsidRPr="00347524">
        <w:rPr>
          <w:lang w:val="en-GB"/>
        </w:rPr>
        <w:t xml:space="preserve">Furthermore, </w:t>
      </w:r>
      <w:r w:rsidR="009E2B05" w:rsidRPr="00347524">
        <w:rPr>
          <w:lang w:val="en-GB"/>
        </w:rPr>
        <w:t xml:space="preserve">an </w:t>
      </w:r>
      <w:r w:rsidRPr="00347524">
        <w:rPr>
          <w:lang w:val="en-GB"/>
        </w:rPr>
        <w:t>individualised assessment of</w:t>
      </w:r>
      <w:r w:rsidR="009E2B05" w:rsidRPr="00347524">
        <w:rPr>
          <w:lang w:val="en-GB"/>
        </w:rPr>
        <w:t xml:space="preserve">, the </w:t>
      </w:r>
      <w:r w:rsidRPr="00347524">
        <w:rPr>
          <w:lang w:val="en-GB"/>
        </w:rPr>
        <w:t>necessity of detention</w:t>
      </w:r>
      <w:r w:rsidR="009E2B05" w:rsidRPr="00347524">
        <w:rPr>
          <w:lang w:val="en-GB"/>
        </w:rPr>
        <w:t>,</w:t>
      </w:r>
      <w:r w:rsidRPr="00347524">
        <w:rPr>
          <w:lang w:val="en-GB"/>
        </w:rPr>
        <w:t xml:space="preserve"> becomes illusory as the provisions do not clearly define the purpose of detention</w:t>
      </w:r>
      <w:r w:rsidR="009E2B05" w:rsidRPr="00347524">
        <w:rPr>
          <w:lang w:val="en-GB"/>
        </w:rPr>
        <w:t>, instead opening for detention</w:t>
      </w:r>
      <w:r w:rsidR="000A4A2A" w:rsidRPr="00347524">
        <w:rPr>
          <w:lang w:val="en-GB"/>
        </w:rPr>
        <w:t xml:space="preserve"> </w:t>
      </w:r>
      <w:r w:rsidR="009E2B05" w:rsidRPr="00347524">
        <w:rPr>
          <w:lang w:val="en-GB"/>
        </w:rPr>
        <w:t>entire categories of asylum seekers.</w:t>
      </w:r>
    </w:p>
    <w:p w:rsidR="00872597" w:rsidRPr="00347524" w:rsidRDefault="00872597" w:rsidP="003C49B8">
      <w:pPr>
        <w:spacing w:line="240" w:lineRule="auto"/>
        <w:rPr>
          <w:lang w:val="en-GB"/>
        </w:rPr>
      </w:pPr>
      <w:proofErr w:type="spellStart"/>
      <w:r w:rsidRPr="00347524">
        <w:rPr>
          <w:b/>
          <w:lang w:val="en-GB"/>
        </w:rPr>
        <w:t>Trandum</w:t>
      </w:r>
      <w:proofErr w:type="spellEnd"/>
      <w:r w:rsidRPr="00347524">
        <w:rPr>
          <w:b/>
          <w:lang w:val="en-GB"/>
        </w:rPr>
        <w:t xml:space="preserve"> </w:t>
      </w:r>
      <w:r w:rsidR="002744E5" w:rsidRPr="00347524">
        <w:rPr>
          <w:b/>
          <w:lang w:val="en-GB"/>
        </w:rPr>
        <w:t xml:space="preserve">Migration </w:t>
      </w:r>
      <w:r w:rsidR="0056716C" w:rsidRPr="00347524">
        <w:rPr>
          <w:b/>
          <w:lang w:val="en-GB"/>
        </w:rPr>
        <w:t>D</w:t>
      </w:r>
      <w:r w:rsidRPr="00347524">
        <w:rPr>
          <w:b/>
          <w:lang w:val="en-GB"/>
        </w:rPr>
        <w:t xml:space="preserve">etention </w:t>
      </w:r>
      <w:r w:rsidR="0056716C" w:rsidRPr="00347524">
        <w:rPr>
          <w:b/>
          <w:lang w:val="en-GB"/>
        </w:rPr>
        <w:t>C</w:t>
      </w:r>
      <w:r w:rsidRPr="00347524">
        <w:rPr>
          <w:b/>
          <w:lang w:val="en-GB"/>
        </w:rPr>
        <w:t>entre</w:t>
      </w:r>
      <w:r w:rsidR="00D2584A" w:rsidRPr="00347524">
        <w:rPr>
          <w:b/>
          <w:lang w:val="en-GB"/>
        </w:rPr>
        <w:t xml:space="preserve">: </w:t>
      </w:r>
      <w:r w:rsidRPr="00347524">
        <w:rPr>
          <w:lang w:val="en-GB"/>
        </w:rPr>
        <w:t xml:space="preserve">A new Security Department at </w:t>
      </w:r>
      <w:proofErr w:type="spellStart"/>
      <w:r w:rsidRPr="00347524">
        <w:rPr>
          <w:lang w:val="en-GB"/>
        </w:rPr>
        <w:t>Trandum</w:t>
      </w:r>
      <w:proofErr w:type="spellEnd"/>
      <w:r w:rsidRPr="00347524">
        <w:rPr>
          <w:lang w:val="en-GB"/>
        </w:rPr>
        <w:t xml:space="preserve"> was established in 2016, with improved conditions. Statistics show, however, that detainees are frequently transferred to the Security </w:t>
      </w:r>
      <w:r w:rsidR="000A4A2A" w:rsidRPr="00347524">
        <w:rPr>
          <w:lang w:val="en-GB"/>
        </w:rPr>
        <w:t>Cell</w:t>
      </w:r>
      <w:r w:rsidRPr="00347524">
        <w:rPr>
          <w:lang w:val="en-GB"/>
        </w:rPr>
        <w:t xml:space="preserve">. </w:t>
      </w:r>
      <w:r w:rsidR="00460B16" w:rsidRPr="00347524">
        <w:rPr>
          <w:lang w:val="en-GB"/>
        </w:rPr>
        <w:t>In December 2016, i</w:t>
      </w:r>
      <w:r w:rsidRPr="00347524">
        <w:rPr>
          <w:lang w:val="en-GB"/>
        </w:rPr>
        <w:t>t appears that all transfers – with two exceptions – implied stays with exclusion from the community (27 cases) or transfer to the security cell (8 cases), which means complete solitary confinement. Only one detainee was given access to a shared living area.</w:t>
      </w:r>
      <w:r w:rsidR="00460B16" w:rsidRPr="00347524">
        <w:rPr>
          <w:rStyle w:val="Fotnotereferanse"/>
          <w:lang w:val="en-GB"/>
        </w:rPr>
        <w:footnoteReference w:id="29"/>
      </w:r>
    </w:p>
    <w:p w:rsidR="000A4A2A" w:rsidRPr="00347524" w:rsidRDefault="00872597" w:rsidP="003C49B8">
      <w:pPr>
        <w:tabs>
          <w:tab w:val="left" w:pos="567"/>
        </w:tabs>
        <w:spacing w:line="240" w:lineRule="auto"/>
        <w:rPr>
          <w:lang w:val="en-GB"/>
        </w:rPr>
      </w:pPr>
      <w:r w:rsidRPr="00347524">
        <w:rPr>
          <w:lang w:val="en-GB"/>
        </w:rPr>
        <w:t>The</w:t>
      </w:r>
      <w:r w:rsidR="00E34AB5" w:rsidRPr="00347524">
        <w:rPr>
          <w:lang w:val="en-GB"/>
        </w:rPr>
        <w:t xml:space="preserve"> organisations submitting this </w:t>
      </w:r>
      <w:r w:rsidR="00BB2E01" w:rsidRPr="00347524">
        <w:rPr>
          <w:lang w:val="en-GB"/>
        </w:rPr>
        <w:t>brief</w:t>
      </w:r>
      <w:r w:rsidR="00E34AB5" w:rsidRPr="00347524">
        <w:rPr>
          <w:lang w:val="en-GB"/>
        </w:rPr>
        <w:t xml:space="preserve"> are concerned that</w:t>
      </w:r>
      <w:r w:rsidRPr="00347524">
        <w:rPr>
          <w:lang w:val="en-GB"/>
        </w:rPr>
        <w:t xml:space="preserve"> staff do not assess</w:t>
      </w:r>
      <w:r w:rsidR="009E2B05" w:rsidRPr="00347524">
        <w:rPr>
          <w:lang w:val="en-GB"/>
        </w:rPr>
        <w:t xml:space="preserve"> on a</w:t>
      </w:r>
      <w:r w:rsidR="0056716C" w:rsidRPr="00347524">
        <w:rPr>
          <w:lang w:val="en-GB"/>
        </w:rPr>
        <w:t xml:space="preserve"> case by case</w:t>
      </w:r>
      <w:r w:rsidR="009E2B05" w:rsidRPr="00347524">
        <w:rPr>
          <w:lang w:val="en-GB"/>
        </w:rPr>
        <w:t xml:space="preserve"> basis</w:t>
      </w:r>
      <w:r w:rsidRPr="00347524">
        <w:rPr>
          <w:lang w:val="en-GB"/>
        </w:rPr>
        <w:t xml:space="preserve"> whether less restrictive</w:t>
      </w:r>
      <w:r w:rsidRPr="00347524">
        <w:rPr>
          <w:rFonts w:cs="Times New Roman"/>
          <w:lang w:val="en-GB"/>
        </w:rPr>
        <w:t xml:space="preserve"> measures for </w:t>
      </w:r>
      <w:r w:rsidRPr="00347524">
        <w:rPr>
          <w:lang w:val="en-GB"/>
        </w:rPr>
        <w:t>detainees</w:t>
      </w:r>
      <w:r w:rsidR="009E2B05" w:rsidRPr="00347524">
        <w:rPr>
          <w:lang w:val="en-GB"/>
        </w:rPr>
        <w:t>,</w:t>
      </w:r>
      <w:r w:rsidRPr="00347524">
        <w:rPr>
          <w:lang w:val="en-GB"/>
        </w:rPr>
        <w:t xml:space="preserve"> </w:t>
      </w:r>
      <w:r w:rsidRPr="00347524">
        <w:rPr>
          <w:rFonts w:cs="Times New Roman"/>
          <w:lang w:val="en-GB"/>
        </w:rPr>
        <w:t>transferred to the Security Department</w:t>
      </w:r>
      <w:r w:rsidR="009E2B05" w:rsidRPr="00347524">
        <w:rPr>
          <w:rFonts w:cs="Times New Roman"/>
          <w:lang w:val="en-GB"/>
        </w:rPr>
        <w:t>,</w:t>
      </w:r>
      <w:r w:rsidRPr="00347524">
        <w:rPr>
          <w:rFonts w:cs="Times New Roman"/>
          <w:lang w:val="en-GB"/>
        </w:rPr>
        <w:t xml:space="preserve"> could be sufficient. The lack of information</w:t>
      </w:r>
      <w:r w:rsidR="002744E5" w:rsidRPr="00347524">
        <w:rPr>
          <w:rFonts w:cs="Times New Roman"/>
          <w:lang w:val="en-GB"/>
        </w:rPr>
        <w:t xml:space="preserve"> about whether such assessment takes place</w:t>
      </w:r>
      <w:r w:rsidRPr="00347524">
        <w:rPr>
          <w:rFonts w:cs="Times New Roman"/>
          <w:lang w:val="en-GB"/>
        </w:rPr>
        <w:t xml:space="preserve"> is a concern</w:t>
      </w:r>
      <w:r w:rsidR="000166FE" w:rsidRPr="00347524">
        <w:rPr>
          <w:rFonts w:cs="Times New Roman"/>
          <w:lang w:val="en-GB"/>
        </w:rPr>
        <w:t xml:space="preserve">, as well as the lack of possibility for detainees </w:t>
      </w:r>
      <w:r w:rsidRPr="00347524">
        <w:rPr>
          <w:rFonts w:cs="Times New Roman"/>
          <w:lang w:val="en-GB"/>
        </w:rPr>
        <w:t xml:space="preserve">to complain about the use of isolation and other security measures. </w:t>
      </w:r>
      <w:r w:rsidRPr="00347524">
        <w:rPr>
          <w:lang w:val="en-GB"/>
        </w:rPr>
        <w:t>Minors are also placed in these cells for either their own or other detainees’ safety.</w:t>
      </w:r>
    </w:p>
    <w:p w:rsidR="00872597" w:rsidRPr="00347524" w:rsidRDefault="00872597" w:rsidP="003C49B8">
      <w:pPr>
        <w:tabs>
          <w:tab w:val="left" w:pos="567"/>
        </w:tabs>
        <w:spacing w:line="240" w:lineRule="auto"/>
        <w:rPr>
          <w:rFonts w:cs="Times New Roman"/>
          <w:lang w:val="en-GB"/>
        </w:rPr>
      </w:pPr>
      <w:r w:rsidRPr="00347524">
        <w:rPr>
          <w:lang w:val="en-GB"/>
        </w:rPr>
        <w:t xml:space="preserve">Security cells are not a reasonable or adequate solution and should not be used to protect vulnerable persons from themselves, e.g. where the person is suicidal. Under no circumstance should </w:t>
      </w:r>
      <w:r w:rsidR="00F42BB6" w:rsidRPr="00347524">
        <w:rPr>
          <w:lang w:val="en-GB"/>
        </w:rPr>
        <w:t xml:space="preserve">vulnerable </w:t>
      </w:r>
      <w:r w:rsidRPr="00347524">
        <w:rPr>
          <w:lang w:val="en-GB"/>
        </w:rPr>
        <w:t>minors be placed in isolation in security cells.</w:t>
      </w:r>
    </w:p>
    <w:p w:rsidR="00803DE3" w:rsidRPr="00347524" w:rsidRDefault="00803DE3" w:rsidP="003C49B8">
      <w:pPr>
        <w:spacing w:line="240" w:lineRule="auto"/>
        <w:rPr>
          <w:lang w:val="en-GB"/>
        </w:rPr>
      </w:pPr>
      <w:r w:rsidRPr="00347524">
        <w:rPr>
          <w:b/>
          <w:lang w:val="en-GB"/>
        </w:rPr>
        <w:t xml:space="preserve">Migration </w:t>
      </w:r>
      <w:r w:rsidR="008727D8" w:rsidRPr="00347524">
        <w:rPr>
          <w:b/>
          <w:lang w:val="en-GB"/>
        </w:rPr>
        <w:t>d</w:t>
      </w:r>
      <w:r w:rsidR="00872597" w:rsidRPr="00347524">
        <w:rPr>
          <w:b/>
          <w:lang w:val="en-GB"/>
        </w:rPr>
        <w:t>etention of children</w:t>
      </w:r>
      <w:r w:rsidR="00B13B8A" w:rsidRPr="00347524">
        <w:rPr>
          <w:b/>
          <w:lang w:val="en-GB"/>
        </w:rPr>
        <w:t xml:space="preserve">: </w:t>
      </w:r>
      <w:r w:rsidR="00872597" w:rsidRPr="00347524">
        <w:rPr>
          <w:lang w:val="en-GB"/>
        </w:rPr>
        <w:t xml:space="preserve">The Government </w:t>
      </w:r>
      <w:r w:rsidR="000A4A2A" w:rsidRPr="00347524">
        <w:rPr>
          <w:lang w:val="en-GB"/>
        </w:rPr>
        <w:t xml:space="preserve">has </w:t>
      </w:r>
      <w:r w:rsidR="00872597" w:rsidRPr="00347524">
        <w:rPr>
          <w:lang w:val="en-GB"/>
        </w:rPr>
        <w:t>recent</w:t>
      </w:r>
      <w:r w:rsidR="000A4A2A" w:rsidRPr="00347524">
        <w:rPr>
          <w:lang w:val="en-GB"/>
        </w:rPr>
        <w:t>ly</w:t>
      </w:r>
      <w:r w:rsidR="00872597" w:rsidRPr="00347524">
        <w:rPr>
          <w:lang w:val="en-GB"/>
        </w:rPr>
        <w:t xml:space="preserve"> </w:t>
      </w:r>
      <w:r w:rsidR="00F906C3" w:rsidRPr="00347524">
        <w:rPr>
          <w:lang w:val="en-GB"/>
        </w:rPr>
        <w:t>propos</w:t>
      </w:r>
      <w:r w:rsidR="000A4A2A" w:rsidRPr="00347524">
        <w:rPr>
          <w:lang w:val="en-GB"/>
        </w:rPr>
        <w:t>ed</w:t>
      </w:r>
      <w:r w:rsidR="00F906C3" w:rsidRPr="00347524">
        <w:rPr>
          <w:lang w:val="en-GB"/>
        </w:rPr>
        <w:t xml:space="preserve"> </w:t>
      </w:r>
      <w:r w:rsidR="000A4A2A" w:rsidRPr="00347524">
        <w:rPr>
          <w:lang w:val="en-GB"/>
        </w:rPr>
        <w:t>new</w:t>
      </w:r>
      <w:r w:rsidR="00872597" w:rsidRPr="00347524">
        <w:rPr>
          <w:lang w:val="en-GB"/>
        </w:rPr>
        <w:t xml:space="preserve"> amendments to the Immigration Act’s provisions</w:t>
      </w:r>
      <w:r w:rsidR="00F906C3" w:rsidRPr="00347524">
        <w:rPr>
          <w:lang w:val="en-GB"/>
        </w:rPr>
        <w:t>,</w:t>
      </w:r>
      <w:r w:rsidR="00872597" w:rsidRPr="00347524">
        <w:rPr>
          <w:lang w:val="en-GB"/>
        </w:rPr>
        <w:t xml:space="preserve"> </w:t>
      </w:r>
      <w:r w:rsidR="00F906C3" w:rsidRPr="00347524">
        <w:rPr>
          <w:lang w:val="en-GB"/>
        </w:rPr>
        <w:t xml:space="preserve">that </w:t>
      </w:r>
      <w:r w:rsidR="00872597" w:rsidRPr="00347524">
        <w:rPr>
          <w:lang w:val="en-GB"/>
        </w:rPr>
        <w:t>govern the use of coercive measures</w:t>
      </w:r>
      <w:r w:rsidR="00F906C3" w:rsidRPr="00347524">
        <w:rPr>
          <w:lang w:val="en-GB"/>
        </w:rPr>
        <w:t>,</w:t>
      </w:r>
      <w:r w:rsidR="00872597" w:rsidRPr="00347524">
        <w:rPr>
          <w:lang w:val="en-GB"/>
        </w:rPr>
        <w:t xml:space="preserve"> </w:t>
      </w:r>
      <w:r w:rsidR="000A4A2A" w:rsidRPr="00347524">
        <w:rPr>
          <w:lang w:val="en-GB"/>
        </w:rPr>
        <w:t xml:space="preserve">aiming to </w:t>
      </w:r>
      <w:r w:rsidR="00872597" w:rsidRPr="00347524">
        <w:rPr>
          <w:lang w:val="en-GB"/>
        </w:rPr>
        <w:t>make the law more predictable and in line with the principle of legal certainty.</w:t>
      </w:r>
      <w:r w:rsidR="000A4A2A" w:rsidRPr="00347524">
        <w:rPr>
          <w:rStyle w:val="Fotnotereferanse"/>
          <w:lang w:val="en-GB"/>
        </w:rPr>
        <w:footnoteReference w:id="30"/>
      </w:r>
      <w:r w:rsidR="00872597" w:rsidRPr="00347524">
        <w:rPr>
          <w:rFonts w:cs="Times New Roman"/>
          <w:sz w:val="21"/>
          <w:szCs w:val="21"/>
          <w:lang w:val="en-GB" w:eastAsia="nb-NO"/>
        </w:rPr>
        <w:t xml:space="preserve"> </w:t>
      </w:r>
      <w:r w:rsidR="00872597" w:rsidRPr="00347524">
        <w:rPr>
          <w:lang w:val="en-GB"/>
        </w:rPr>
        <w:t xml:space="preserve">This is a </w:t>
      </w:r>
      <w:r w:rsidR="00EA73A4" w:rsidRPr="00347524">
        <w:rPr>
          <w:lang w:val="en-GB"/>
        </w:rPr>
        <w:t>long-known</w:t>
      </w:r>
      <w:r w:rsidR="00872597" w:rsidRPr="00347524">
        <w:rPr>
          <w:lang w:val="en-GB"/>
        </w:rPr>
        <w:t xml:space="preserve"> issue, which was pointed out already in a 2012 report commissioned by the Ministry of Justice</w:t>
      </w:r>
      <w:r w:rsidR="00872597" w:rsidRPr="00347524">
        <w:rPr>
          <w:rStyle w:val="Fotnotereferanse"/>
          <w:lang w:val="en-GB"/>
        </w:rPr>
        <w:footnoteReference w:id="31"/>
      </w:r>
      <w:r w:rsidR="00872597" w:rsidRPr="00347524">
        <w:rPr>
          <w:lang w:val="en-GB"/>
        </w:rPr>
        <w:t xml:space="preserve"> and again in a 2014 NOAS report.</w:t>
      </w:r>
      <w:r w:rsidR="00872597" w:rsidRPr="00347524">
        <w:rPr>
          <w:rStyle w:val="Fotnotereferanse"/>
          <w:lang w:val="en-GB"/>
        </w:rPr>
        <w:footnoteReference w:id="32"/>
      </w:r>
      <w:r w:rsidR="00872597" w:rsidRPr="00347524">
        <w:rPr>
          <w:lang w:val="en-GB"/>
        </w:rPr>
        <w:t xml:space="preserve"> </w:t>
      </w:r>
    </w:p>
    <w:p w:rsidR="00E34826" w:rsidRPr="00347524" w:rsidRDefault="00E34826" w:rsidP="003C49B8">
      <w:pPr>
        <w:spacing w:line="240" w:lineRule="auto"/>
        <w:rPr>
          <w:lang w:val="en-GB"/>
        </w:rPr>
      </w:pPr>
      <w:r w:rsidRPr="00347524">
        <w:rPr>
          <w:lang w:val="en-GB"/>
        </w:rPr>
        <w:t xml:space="preserve">The organizations submitting this report are concerned about several aspects of the proposal. </w:t>
      </w:r>
      <w:r w:rsidR="00872597" w:rsidRPr="00347524">
        <w:rPr>
          <w:lang w:val="en-GB"/>
        </w:rPr>
        <w:t xml:space="preserve">Disappointingly, the proposal </w:t>
      </w:r>
      <w:r w:rsidR="00002F66" w:rsidRPr="00347524">
        <w:rPr>
          <w:lang w:val="en-GB"/>
        </w:rPr>
        <w:t xml:space="preserve">does neither abolish detention of children nor clearly limit such practice. </w:t>
      </w:r>
      <w:r w:rsidR="00803DE3" w:rsidRPr="00347524">
        <w:rPr>
          <w:lang w:val="en-GB"/>
        </w:rPr>
        <w:t xml:space="preserve">It does </w:t>
      </w:r>
      <w:r w:rsidR="00B11596" w:rsidRPr="00347524">
        <w:rPr>
          <w:lang w:val="en-GB"/>
        </w:rPr>
        <w:t>not</w:t>
      </w:r>
      <w:r w:rsidR="00872597" w:rsidRPr="00347524">
        <w:rPr>
          <w:lang w:val="en-GB"/>
        </w:rPr>
        <w:t xml:space="preserve"> foresee a separate</w:t>
      </w:r>
      <w:r w:rsidR="00002F66" w:rsidRPr="00347524">
        <w:rPr>
          <w:lang w:val="en-GB"/>
        </w:rPr>
        <w:t>, maximum</w:t>
      </w:r>
      <w:r w:rsidR="00872597" w:rsidRPr="00347524">
        <w:rPr>
          <w:lang w:val="en-GB"/>
        </w:rPr>
        <w:t xml:space="preserve"> time limit.</w:t>
      </w:r>
      <w:r w:rsidR="00002F66" w:rsidRPr="00347524">
        <w:rPr>
          <w:rStyle w:val="Fotnotereferanse"/>
          <w:lang w:val="en-GB"/>
        </w:rPr>
        <w:footnoteReference w:id="33"/>
      </w:r>
      <w:r w:rsidR="00872597" w:rsidRPr="00347524">
        <w:rPr>
          <w:lang w:val="en-GB"/>
        </w:rPr>
        <w:t xml:space="preserve"> </w:t>
      </w:r>
    </w:p>
    <w:p w:rsidR="00872597" w:rsidRPr="00347524" w:rsidRDefault="00872597" w:rsidP="003C49B8">
      <w:pPr>
        <w:spacing w:line="240" w:lineRule="auto"/>
        <w:rPr>
          <w:lang w:val="en-GB"/>
        </w:rPr>
      </w:pPr>
      <w:r w:rsidRPr="00347524">
        <w:rPr>
          <w:lang w:val="en-GB"/>
        </w:rPr>
        <w:t xml:space="preserve">The proposal will allow for initial detention of one day, which may thereafter be extended by </w:t>
      </w:r>
      <w:r w:rsidR="00F906C3" w:rsidRPr="00347524">
        <w:rPr>
          <w:lang w:val="en-GB"/>
        </w:rPr>
        <w:t xml:space="preserve">the </w:t>
      </w:r>
      <w:r w:rsidRPr="00347524">
        <w:rPr>
          <w:lang w:val="en-GB"/>
        </w:rPr>
        <w:t xml:space="preserve">court for three days and, if necessary, for </w:t>
      </w:r>
      <w:r w:rsidR="00F906C3" w:rsidRPr="00347524">
        <w:rPr>
          <w:lang w:val="en-GB"/>
        </w:rPr>
        <w:t xml:space="preserve">an </w:t>
      </w:r>
      <w:r w:rsidRPr="00347524">
        <w:rPr>
          <w:lang w:val="en-GB"/>
        </w:rPr>
        <w:t>additional three days. Thereafter, the court may extend detention for a further week at a time, provided there are</w:t>
      </w:r>
      <w:r w:rsidR="00F906C3" w:rsidRPr="00347524">
        <w:rPr>
          <w:lang w:val="en-GB"/>
        </w:rPr>
        <w:t>,</w:t>
      </w:r>
      <w:r w:rsidRPr="00347524">
        <w:rPr>
          <w:lang w:val="en-GB"/>
        </w:rPr>
        <w:t xml:space="preserve"> “special and strong reasons” to do so.</w:t>
      </w:r>
    </w:p>
    <w:p w:rsidR="00002F66" w:rsidRPr="00347524" w:rsidRDefault="009037FD" w:rsidP="003C49B8">
      <w:pPr>
        <w:spacing w:line="240" w:lineRule="auto"/>
        <w:rPr>
          <w:lang w:val="en-GB"/>
        </w:rPr>
      </w:pPr>
      <w:r w:rsidRPr="00347524">
        <w:rPr>
          <w:lang w:val="en-GB"/>
        </w:rPr>
        <w:t>The proposal</w:t>
      </w:r>
      <w:r w:rsidR="00803DE3" w:rsidRPr="00347524">
        <w:rPr>
          <w:lang w:val="en-GB"/>
        </w:rPr>
        <w:t xml:space="preserve"> </w:t>
      </w:r>
      <w:r w:rsidR="00872597" w:rsidRPr="00347524">
        <w:rPr>
          <w:lang w:val="en-GB"/>
        </w:rPr>
        <w:t>specifies that the term</w:t>
      </w:r>
      <w:r w:rsidR="00F906C3" w:rsidRPr="00347524">
        <w:rPr>
          <w:lang w:val="en-GB"/>
        </w:rPr>
        <w:t>,</w:t>
      </w:r>
      <w:r w:rsidR="00872597" w:rsidRPr="00347524">
        <w:rPr>
          <w:lang w:val="en-GB"/>
        </w:rPr>
        <w:t xml:space="preserve"> </w:t>
      </w:r>
      <w:r w:rsidR="00015959" w:rsidRPr="00347524">
        <w:rPr>
          <w:lang w:val="en-GB"/>
        </w:rPr>
        <w:t>“</w:t>
      </w:r>
      <w:r w:rsidR="00872597" w:rsidRPr="00347524">
        <w:rPr>
          <w:lang w:val="en-GB"/>
        </w:rPr>
        <w:t>special and strong reasons</w:t>
      </w:r>
      <w:r w:rsidR="00015959" w:rsidRPr="00347524">
        <w:rPr>
          <w:lang w:val="en-GB"/>
        </w:rPr>
        <w:t>”</w:t>
      </w:r>
      <w:r w:rsidR="00872597" w:rsidRPr="00347524">
        <w:rPr>
          <w:lang w:val="en-GB"/>
        </w:rPr>
        <w:t xml:space="preserve"> </w:t>
      </w:r>
      <w:r w:rsidR="00002F66" w:rsidRPr="00347524">
        <w:rPr>
          <w:lang w:val="en-GB"/>
        </w:rPr>
        <w:t xml:space="preserve">means “first and foremost, that the child’s family or the child itself bears a significant share of responsibility for preventing deportation from being executed within six days of the arrest, or that the agreed time of deportation is close at hand”. The proposal stresses that his specification is non-exhaustive, again </w:t>
      </w:r>
      <w:r w:rsidR="00E34826" w:rsidRPr="00347524">
        <w:rPr>
          <w:lang w:val="en-GB"/>
        </w:rPr>
        <w:t xml:space="preserve">raising </w:t>
      </w:r>
      <w:r w:rsidR="00002F66" w:rsidRPr="00347524">
        <w:rPr>
          <w:lang w:val="en-GB"/>
        </w:rPr>
        <w:t>issues of legal certainty.</w:t>
      </w:r>
    </w:p>
    <w:p w:rsidR="00E34826" w:rsidRPr="00347524" w:rsidRDefault="00E34826" w:rsidP="00E34826">
      <w:pPr>
        <w:spacing w:line="240" w:lineRule="auto"/>
        <w:rPr>
          <w:lang w:val="en-GB"/>
        </w:rPr>
      </w:pPr>
      <w:r w:rsidRPr="00347524">
        <w:rPr>
          <w:lang w:val="en-GB"/>
        </w:rPr>
        <w:t>The proposal thus provides the Government with wide discretion when prolonging detention beyond one week. Furthermore, non-permissible reasons of administrative expediency are provided as examples of when detention can be prolonged beyond one week.</w:t>
      </w:r>
      <w:r w:rsidRPr="00347524">
        <w:rPr>
          <w:rStyle w:val="Fotnotereferanse"/>
          <w:lang w:val="en-GB"/>
        </w:rPr>
        <w:footnoteReference w:id="34"/>
      </w:r>
      <w:r w:rsidRPr="00347524">
        <w:rPr>
          <w:lang w:val="en-GB"/>
        </w:rPr>
        <w:t xml:space="preserve"> Detention under the proposal can become punitive, in that it may punish people who “bear substantial responsibility for deportation not had been carried out”; it may also punish children for something that their family may have done – not even the children themselves.</w:t>
      </w:r>
      <w:r w:rsidRPr="00347524">
        <w:rPr>
          <w:rFonts w:cs="Arial"/>
          <w:lang w:val="en-GB"/>
        </w:rPr>
        <w:t xml:space="preserve"> Finally, the fact that </w:t>
      </w:r>
      <w:r w:rsidRPr="00347524">
        <w:rPr>
          <w:lang w:val="en-GB"/>
        </w:rPr>
        <w:t>an “agreed time of deportation is close at hand” should not be seen as legitimate ground for keeping children detained beyond one week.</w:t>
      </w:r>
    </w:p>
    <w:p w:rsidR="00872597" w:rsidRPr="00347524" w:rsidRDefault="00872597" w:rsidP="003C49B8">
      <w:pPr>
        <w:spacing w:line="240" w:lineRule="auto"/>
        <w:rPr>
          <w:lang w:val="en-GB"/>
        </w:rPr>
      </w:pPr>
      <w:r w:rsidRPr="00347524">
        <w:rPr>
          <w:lang w:val="en-GB"/>
        </w:rPr>
        <w:t>The law proposal foresees construction of a new detention centre with a</w:t>
      </w:r>
      <w:r w:rsidR="00F906C3" w:rsidRPr="00347524">
        <w:rPr>
          <w:lang w:val="en-GB"/>
        </w:rPr>
        <w:t>,</w:t>
      </w:r>
      <w:r w:rsidRPr="00347524">
        <w:rPr>
          <w:lang w:val="en-GB"/>
        </w:rPr>
        <w:t xml:space="preserve"> “more civilian character” for families with children. The Government believes that detention of children in such a specialised centre will allow for longer periods of detention, as suggested by the newly proposed 1+3+3+7+ model mentioned above.</w:t>
      </w:r>
      <w:r w:rsidR="009357E4" w:rsidRPr="00347524">
        <w:rPr>
          <w:rStyle w:val="Fotnotereferanse"/>
          <w:lang w:val="en-GB"/>
        </w:rPr>
        <w:footnoteReference w:id="35"/>
      </w:r>
      <w:r w:rsidRPr="00347524">
        <w:rPr>
          <w:lang w:val="en-GB"/>
        </w:rPr>
        <w:t xml:space="preserve"> The centre is to be managed by the same police unit that runs the detention centre at </w:t>
      </w:r>
      <w:proofErr w:type="spellStart"/>
      <w:r w:rsidRPr="00347524">
        <w:rPr>
          <w:lang w:val="en-GB"/>
        </w:rPr>
        <w:t>Trandum</w:t>
      </w:r>
      <w:proofErr w:type="spellEnd"/>
      <w:r w:rsidRPr="00347524">
        <w:rPr>
          <w:lang w:val="en-GB"/>
        </w:rPr>
        <w:t xml:space="preserve"> and it will allow for detention of up to three families at a time.</w:t>
      </w:r>
    </w:p>
    <w:p w:rsidR="00B13B8A" w:rsidRPr="00347524" w:rsidRDefault="00872597" w:rsidP="003C49B8">
      <w:pPr>
        <w:spacing w:line="240" w:lineRule="auto"/>
        <w:rPr>
          <w:lang w:val="en-GB"/>
        </w:rPr>
      </w:pPr>
      <w:r w:rsidRPr="00347524">
        <w:rPr>
          <w:lang w:val="en-GB"/>
        </w:rPr>
        <w:t>In May 2017</w:t>
      </w:r>
      <w:r w:rsidR="00B13B8A" w:rsidRPr="00347524">
        <w:rPr>
          <w:lang w:val="en-GB"/>
        </w:rPr>
        <w:t>,</w:t>
      </w:r>
      <w:r w:rsidRPr="00347524">
        <w:rPr>
          <w:lang w:val="en-GB"/>
        </w:rPr>
        <w:t xml:space="preserve"> the </w:t>
      </w:r>
      <w:proofErr w:type="spellStart"/>
      <w:r w:rsidRPr="00347524">
        <w:rPr>
          <w:lang w:val="en-GB"/>
        </w:rPr>
        <w:t>Borgarting</w:t>
      </w:r>
      <w:proofErr w:type="spellEnd"/>
      <w:r w:rsidRPr="00347524">
        <w:rPr>
          <w:lang w:val="en-GB"/>
        </w:rPr>
        <w:t xml:space="preserve"> Appellate Court found </w:t>
      </w:r>
      <w:r w:rsidR="00F0514A" w:rsidRPr="00347524">
        <w:rPr>
          <w:lang w:val="en-GB"/>
        </w:rPr>
        <w:t xml:space="preserve">that </w:t>
      </w:r>
      <w:r w:rsidRPr="00347524">
        <w:rPr>
          <w:lang w:val="en-GB"/>
        </w:rPr>
        <w:t xml:space="preserve">the detention of a </w:t>
      </w:r>
      <w:r w:rsidR="00F0514A" w:rsidRPr="00347524">
        <w:rPr>
          <w:lang w:val="en-GB"/>
        </w:rPr>
        <w:t>family with</w:t>
      </w:r>
      <w:r w:rsidRPr="00347524">
        <w:rPr>
          <w:lang w:val="en-GB"/>
        </w:rPr>
        <w:t xml:space="preserve"> four children for 21 days at </w:t>
      </w:r>
      <w:proofErr w:type="spellStart"/>
      <w:r w:rsidRPr="00347524">
        <w:rPr>
          <w:lang w:val="en-GB"/>
        </w:rPr>
        <w:t>Trandum</w:t>
      </w:r>
      <w:proofErr w:type="spellEnd"/>
      <w:r w:rsidR="00F0514A" w:rsidRPr="00347524">
        <w:rPr>
          <w:lang w:val="en-GB"/>
        </w:rPr>
        <w:t>,</w:t>
      </w:r>
      <w:r w:rsidRPr="00347524">
        <w:rPr>
          <w:lang w:val="en-GB"/>
        </w:rPr>
        <w:t xml:space="preserve"> to be a violation of the Norwegian Constitution, the </w:t>
      </w:r>
      <w:r w:rsidR="00C950A8" w:rsidRPr="00347524">
        <w:rPr>
          <w:lang w:val="en-GB"/>
        </w:rPr>
        <w:t xml:space="preserve">UN </w:t>
      </w:r>
      <w:r w:rsidRPr="00347524">
        <w:rPr>
          <w:lang w:val="en-GB"/>
        </w:rPr>
        <w:t xml:space="preserve">Convention on the Rights of the Child and </w:t>
      </w:r>
      <w:r w:rsidR="00C950A8" w:rsidRPr="00347524">
        <w:rPr>
          <w:lang w:val="en-GB"/>
        </w:rPr>
        <w:t xml:space="preserve">Articles 3, 5(1) and 8 of </w:t>
      </w:r>
      <w:r w:rsidRPr="00347524">
        <w:rPr>
          <w:lang w:val="en-GB"/>
        </w:rPr>
        <w:t>the E</w:t>
      </w:r>
      <w:r w:rsidR="00B44BE7" w:rsidRPr="00347524">
        <w:rPr>
          <w:lang w:val="en-GB"/>
        </w:rPr>
        <w:t>uropean Convention on Human Rights</w:t>
      </w:r>
      <w:r w:rsidRPr="00347524">
        <w:rPr>
          <w:lang w:val="en-GB"/>
        </w:rPr>
        <w:t xml:space="preserve">, </w:t>
      </w:r>
      <w:r w:rsidR="00C053DB" w:rsidRPr="00347524">
        <w:rPr>
          <w:lang w:val="en-GB"/>
        </w:rPr>
        <w:t>although</w:t>
      </w:r>
      <w:r w:rsidRPr="00347524">
        <w:rPr>
          <w:lang w:val="en-GB"/>
        </w:rPr>
        <w:t xml:space="preserve"> the parents attempted to stop the deportation from being carried out.</w:t>
      </w:r>
      <w:r w:rsidRPr="00347524">
        <w:rPr>
          <w:rStyle w:val="Fotnotereferanse"/>
          <w:lang w:val="en-GB"/>
        </w:rPr>
        <w:footnoteReference w:id="36"/>
      </w:r>
      <w:r w:rsidRPr="00347524">
        <w:rPr>
          <w:lang w:val="en-GB"/>
        </w:rPr>
        <w:t xml:space="preserve"> Corresponding Articles 7 and 9 of the </w:t>
      </w:r>
      <w:r w:rsidR="008C155D" w:rsidRPr="00347524">
        <w:rPr>
          <w:lang w:val="en-GB"/>
        </w:rPr>
        <w:t>Covenant</w:t>
      </w:r>
      <w:r w:rsidRPr="00347524">
        <w:rPr>
          <w:lang w:val="en-GB"/>
        </w:rPr>
        <w:t xml:space="preserve"> were not assessed by the Court.</w:t>
      </w:r>
    </w:p>
    <w:p w:rsidR="00667762" w:rsidRPr="00347524" w:rsidRDefault="00872597" w:rsidP="003C49B8">
      <w:pPr>
        <w:widowControl w:val="0"/>
        <w:spacing w:line="240" w:lineRule="auto"/>
        <w:rPr>
          <w:rFonts w:cs="Arial"/>
          <w:lang w:val="en-GB"/>
        </w:rPr>
      </w:pPr>
      <w:r w:rsidRPr="00347524">
        <w:rPr>
          <w:rFonts w:cs="Arial"/>
          <w:b/>
          <w:lang w:val="en-GB"/>
        </w:rPr>
        <w:t>Recommendation</w:t>
      </w:r>
      <w:r w:rsidR="00667762" w:rsidRPr="00347524">
        <w:rPr>
          <w:rFonts w:cs="Arial"/>
          <w:b/>
          <w:lang w:val="en-GB"/>
        </w:rPr>
        <w:t>s</w:t>
      </w:r>
      <w:r w:rsidRPr="00347524">
        <w:rPr>
          <w:rFonts w:cs="Arial"/>
          <w:lang w:val="en-GB"/>
        </w:rPr>
        <w:t>:</w:t>
      </w:r>
    </w:p>
    <w:p w:rsidR="00AB2898" w:rsidRPr="00347524" w:rsidRDefault="00AB2898" w:rsidP="003C49B8">
      <w:pPr>
        <w:pStyle w:val="Listeavsnitt"/>
        <w:widowControl w:val="0"/>
        <w:numPr>
          <w:ilvl w:val="0"/>
          <w:numId w:val="21"/>
        </w:numPr>
        <w:spacing w:line="240" w:lineRule="auto"/>
        <w:rPr>
          <w:rFonts w:cs="Arial"/>
          <w:lang w:val="en-GB"/>
        </w:rPr>
      </w:pPr>
      <w:r w:rsidRPr="00347524">
        <w:rPr>
          <w:rFonts w:cs="Arial"/>
          <w:lang w:val="en-GB"/>
        </w:rPr>
        <w:t xml:space="preserve">Introduce legislation that </w:t>
      </w:r>
      <w:r w:rsidR="00E523BA" w:rsidRPr="00347524">
        <w:rPr>
          <w:rFonts w:cs="Arial"/>
          <w:lang w:val="en-GB"/>
        </w:rPr>
        <w:t>repeal</w:t>
      </w:r>
      <w:r w:rsidR="00614396" w:rsidRPr="00347524">
        <w:rPr>
          <w:rFonts w:cs="Arial"/>
          <w:lang w:val="en-GB"/>
        </w:rPr>
        <w:t xml:space="preserve"> detention of children or</w:t>
      </w:r>
      <w:r w:rsidR="00FB1125" w:rsidRPr="00347524">
        <w:rPr>
          <w:rFonts w:cs="Arial"/>
          <w:lang w:val="en-GB"/>
        </w:rPr>
        <w:t xml:space="preserve"> </w:t>
      </w:r>
      <w:r w:rsidRPr="00347524">
        <w:rPr>
          <w:rFonts w:cs="Arial"/>
          <w:lang w:val="en-GB"/>
        </w:rPr>
        <w:t>limits</w:t>
      </w:r>
      <w:r w:rsidR="00F0514A" w:rsidRPr="00347524">
        <w:rPr>
          <w:rFonts w:cs="Arial"/>
          <w:lang w:val="en-GB"/>
        </w:rPr>
        <w:t xml:space="preserve"> </w:t>
      </w:r>
      <w:r w:rsidR="00614396" w:rsidRPr="00347524">
        <w:rPr>
          <w:rFonts w:cs="Arial"/>
          <w:lang w:val="en-GB"/>
        </w:rPr>
        <w:t>it</w:t>
      </w:r>
      <w:r w:rsidRPr="00347524">
        <w:rPr>
          <w:rFonts w:cs="Arial"/>
          <w:lang w:val="en-GB"/>
        </w:rPr>
        <w:t xml:space="preserve"> to only very short periods of time</w:t>
      </w:r>
      <w:r w:rsidR="00FB1125" w:rsidRPr="00347524">
        <w:rPr>
          <w:rFonts w:cs="Arial"/>
          <w:lang w:val="en-GB"/>
        </w:rPr>
        <w:t>;</w:t>
      </w:r>
    </w:p>
    <w:p w:rsidR="00E523BA" w:rsidRPr="00347524" w:rsidRDefault="00E523BA" w:rsidP="003C49B8">
      <w:pPr>
        <w:pStyle w:val="Listeavsnitt"/>
        <w:widowControl w:val="0"/>
        <w:numPr>
          <w:ilvl w:val="0"/>
          <w:numId w:val="21"/>
        </w:numPr>
        <w:spacing w:line="240" w:lineRule="auto"/>
        <w:rPr>
          <w:rFonts w:cs="Arial"/>
          <w:lang w:val="en-GB"/>
        </w:rPr>
      </w:pPr>
      <w:r w:rsidRPr="00347524">
        <w:rPr>
          <w:rFonts w:cs="Arial"/>
          <w:lang w:val="en-GB"/>
        </w:rPr>
        <w:t xml:space="preserve">Amend provisions allowing for </w:t>
      </w:r>
      <w:r w:rsidR="00F0514A" w:rsidRPr="00347524">
        <w:rPr>
          <w:rFonts w:cs="Arial"/>
          <w:lang w:val="en-GB"/>
        </w:rPr>
        <w:t xml:space="preserve">the </w:t>
      </w:r>
      <w:r w:rsidRPr="00347524">
        <w:rPr>
          <w:rFonts w:cs="Arial"/>
          <w:lang w:val="en-GB"/>
        </w:rPr>
        <w:t>detention of children for more than seven days without assessing if it is</w:t>
      </w:r>
      <w:r w:rsidR="00F0514A" w:rsidRPr="00347524">
        <w:rPr>
          <w:rFonts w:cs="Arial"/>
          <w:lang w:val="en-GB"/>
        </w:rPr>
        <w:t>,</w:t>
      </w:r>
      <w:r w:rsidRPr="00347524">
        <w:rPr>
          <w:rFonts w:cs="Arial"/>
          <w:lang w:val="en-GB"/>
        </w:rPr>
        <w:t xml:space="preserve"> “necessary and proportional” and in compliance wit</w:t>
      </w:r>
      <w:r w:rsidR="00614396" w:rsidRPr="00347524">
        <w:rPr>
          <w:rFonts w:cs="Arial"/>
          <w:lang w:val="en-GB"/>
        </w:rPr>
        <w:t>h the Covenant Articles 7 and 9</w:t>
      </w:r>
      <w:r w:rsidRPr="00347524">
        <w:rPr>
          <w:lang w:val="en-GB"/>
        </w:rPr>
        <w:t>;</w:t>
      </w:r>
    </w:p>
    <w:p w:rsidR="00872597" w:rsidRPr="00347524" w:rsidRDefault="00872597" w:rsidP="003C49B8">
      <w:pPr>
        <w:pStyle w:val="Listeavsnitt"/>
        <w:widowControl w:val="0"/>
        <w:numPr>
          <w:ilvl w:val="0"/>
          <w:numId w:val="21"/>
        </w:numPr>
        <w:spacing w:line="240" w:lineRule="auto"/>
        <w:rPr>
          <w:rFonts w:cs="Arial"/>
          <w:lang w:val="en-GB"/>
        </w:rPr>
      </w:pPr>
      <w:r w:rsidRPr="00347524">
        <w:rPr>
          <w:rFonts w:cs="Arial"/>
          <w:lang w:val="en-GB"/>
        </w:rPr>
        <w:t>Amend provisions allowing for detention for reasons of administrative expediency, without a</w:t>
      </w:r>
      <w:r w:rsidR="00614396" w:rsidRPr="00347524">
        <w:rPr>
          <w:rFonts w:cs="Arial"/>
          <w:lang w:val="en-GB"/>
        </w:rPr>
        <w:t xml:space="preserve">n individual </w:t>
      </w:r>
      <w:r w:rsidRPr="00347524">
        <w:rPr>
          <w:rFonts w:cs="Arial"/>
          <w:lang w:val="en-GB"/>
        </w:rPr>
        <w:t>assessment of necessity and proportionality of detention</w:t>
      </w:r>
      <w:r w:rsidR="00667762" w:rsidRPr="00347524">
        <w:rPr>
          <w:rFonts w:cs="Arial"/>
          <w:lang w:val="en-GB"/>
        </w:rPr>
        <w:t>;</w:t>
      </w:r>
    </w:p>
    <w:p w:rsidR="004C3F33" w:rsidRPr="00347524" w:rsidRDefault="00872597" w:rsidP="003C49B8">
      <w:pPr>
        <w:pStyle w:val="Listeavsnitt"/>
        <w:widowControl w:val="0"/>
        <w:numPr>
          <w:ilvl w:val="0"/>
          <w:numId w:val="21"/>
        </w:numPr>
        <w:spacing w:line="240" w:lineRule="auto"/>
        <w:rPr>
          <w:rFonts w:cs="Arial"/>
          <w:lang w:val="en-GB"/>
        </w:rPr>
      </w:pPr>
      <w:r w:rsidRPr="00347524">
        <w:rPr>
          <w:rFonts w:cs="Arial"/>
          <w:lang w:val="en-GB"/>
        </w:rPr>
        <w:t>Amend the regulations concer</w:t>
      </w:r>
      <w:r w:rsidR="00667762" w:rsidRPr="00347524">
        <w:rPr>
          <w:rFonts w:cs="Arial"/>
          <w:lang w:val="en-GB"/>
        </w:rPr>
        <w:t>ning the use of security cells</w:t>
      </w:r>
      <w:r w:rsidR="004C3F33" w:rsidRPr="00347524">
        <w:rPr>
          <w:rFonts w:cs="Arial"/>
          <w:lang w:val="en-GB"/>
        </w:rPr>
        <w:t xml:space="preserve"> at </w:t>
      </w:r>
      <w:proofErr w:type="spellStart"/>
      <w:r w:rsidR="004C3F33" w:rsidRPr="00347524">
        <w:rPr>
          <w:rFonts w:cs="Arial"/>
          <w:lang w:val="en-GB"/>
        </w:rPr>
        <w:t>Trandum</w:t>
      </w:r>
      <w:proofErr w:type="spellEnd"/>
      <w:r w:rsidR="004C3F33" w:rsidRPr="00347524">
        <w:rPr>
          <w:rFonts w:cs="Arial"/>
          <w:lang w:val="en-GB"/>
        </w:rPr>
        <w:t xml:space="preserve"> Migration Detention Centre</w:t>
      </w:r>
      <w:r w:rsidR="00CF5B84" w:rsidRPr="00347524">
        <w:rPr>
          <w:rFonts w:cs="Arial"/>
          <w:lang w:val="en-GB"/>
        </w:rPr>
        <w:t xml:space="preserve">, to ensure that </w:t>
      </w:r>
      <w:r w:rsidR="00514950" w:rsidRPr="00347524">
        <w:rPr>
          <w:rFonts w:cs="Arial"/>
          <w:lang w:val="en-GB"/>
        </w:rPr>
        <w:t xml:space="preserve">application of </w:t>
      </w:r>
      <w:r w:rsidR="00CF5B84" w:rsidRPr="00347524">
        <w:rPr>
          <w:lang w:val="en-GB"/>
        </w:rPr>
        <w:t>less restrictive</w:t>
      </w:r>
      <w:r w:rsidR="00CF5B84" w:rsidRPr="00347524">
        <w:rPr>
          <w:rFonts w:cs="Times New Roman"/>
          <w:lang w:val="en-GB"/>
        </w:rPr>
        <w:t xml:space="preserve"> measures</w:t>
      </w:r>
      <w:r w:rsidR="00514950" w:rsidRPr="00347524">
        <w:rPr>
          <w:rFonts w:cs="Times New Roman"/>
          <w:lang w:val="en-GB"/>
        </w:rPr>
        <w:t xml:space="preserve"> is considered</w:t>
      </w:r>
      <w:r w:rsidR="004C3F33" w:rsidRPr="00347524">
        <w:rPr>
          <w:rFonts w:cs="Arial"/>
          <w:lang w:val="en-GB"/>
        </w:rPr>
        <w:t>;</w:t>
      </w:r>
    </w:p>
    <w:p w:rsidR="004C3F33" w:rsidRPr="00347524" w:rsidRDefault="004C3F33" w:rsidP="003C49B8">
      <w:pPr>
        <w:pStyle w:val="Listeavsnitt"/>
        <w:widowControl w:val="0"/>
        <w:numPr>
          <w:ilvl w:val="0"/>
          <w:numId w:val="21"/>
        </w:numPr>
        <w:spacing w:line="240" w:lineRule="auto"/>
        <w:rPr>
          <w:rFonts w:cs="Arial"/>
          <w:lang w:val="en-GB"/>
        </w:rPr>
      </w:pPr>
      <w:r w:rsidRPr="00347524">
        <w:rPr>
          <w:rFonts w:cs="Arial"/>
          <w:lang w:val="en-GB"/>
        </w:rPr>
        <w:t xml:space="preserve">Placement of detained minors in security cells at </w:t>
      </w:r>
      <w:proofErr w:type="spellStart"/>
      <w:r w:rsidRPr="00347524">
        <w:rPr>
          <w:rFonts w:cs="Arial"/>
          <w:lang w:val="en-GB"/>
        </w:rPr>
        <w:t>Trandum</w:t>
      </w:r>
      <w:proofErr w:type="spellEnd"/>
      <w:r w:rsidRPr="00347524">
        <w:rPr>
          <w:rFonts w:cs="Arial"/>
          <w:lang w:val="en-GB"/>
        </w:rPr>
        <w:t xml:space="preserve"> should </w:t>
      </w:r>
      <w:r w:rsidR="00E523BA" w:rsidRPr="00347524">
        <w:rPr>
          <w:rFonts w:cs="Arial"/>
          <w:lang w:val="en-GB"/>
        </w:rPr>
        <w:t>only take place if it is assessed to</w:t>
      </w:r>
      <w:r w:rsidRPr="00347524">
        <w:rPr>
          <w:rFonts w:cs="Arial"/>
          <w:lang w:val="en-GB"/>
        </w:rPr>
        <w:t xml:space="preserve"> be necessary and proportional, and in line with Covenant Articles 7 and 9</w:t>
      </w:r>
      <w:r w:rsidR="00CF5B84" w:rsidRPr="00347524">
        <w:rPr>
          <w:rFonts w:cs="Arial"/>
          <w:lang w:val="en-GB"/>
        </w:rPr>
        <w:t>.</w:t>
      </w:r>
    </w:p>
    <w:p w:rsidR="00872597" w:rsidRPr="00347524" w:rsidRDefault="00872597" w:rsidP="003C49B8">
      <w:pPr>
        <w:spacing w:line="240" w:lineRule="auto"/>
        <w:rPr>
          <w:rFonts w:cs="Times New Roman"/>
          <w:lang w:val="en-GB"/>
        </w:rPr>
      </w:pPr>
    </w:p>
    <w:p w:rsidR="0045055E" w:rsidRPr="00347524" w:rsidRDefault="0045055E" w:rsidP="003C49B8">
      <w:pPr>
        <w:spacing w:line="240" w:lineRule="auto"/>
        <w:rPr>
          <w:b/>
          <w:lang w:val="en-GB"/>
        </w:rPr>
      </w:pPr>
      <w:r w:rsidRPr="00347524">
        <w:rPr>
          <w:b/>
          <w:lang w:val="en-GB"/>
        </w:rPr>
        <w:t>17</w:t>
      </w:r>
      <w:r w:rsidR="00FB0E79" w:rsidRPr="00347524">
        <w:rPr>
          <w:b/>
          <w:lang w:val="en-GB"/>
        </w:rPr>
        <w:t xml:space="preserve"> (a)</w:t>
      </w:r>
      <w:r w:rsidRPr="00347524">
        <w:rPr>
          <w:b/>
          <w:lang w:val="en-GB"/>
        </w:rPr>
        <w:t xml:space="preserve"> Amendments to the Immigration act regarding the safe third country concept and ret</w:t>
      </w:r>
      <w:r w:rsidR="00667762" w:rsidRPr="00347524">
        <w:rPr>
          <w:b/>
          <w:lang w:val="en-GB"/>
        </w:rPr>
        <w:t>urn of asylum seekers to Russia;</w:t>
      </w:r>
      <w:r w:rsidRPr="00347524">
        <w:rPr>
          <w:b/>
          <w:lang w:val="en-GB"/>
        </w:rPr>
        <w:t xml:space="preserve"> safeguards against </w:t>
      </w:r>
      <w:proofErr w:type="spellStart"/>
      <w:r w:rsidR="00EA73A4" w:rsidRPr="00347524">
        <w:rPr>
          <w:b/>
          <w:lang w:val="en-GB"/>
        </w:rPr>
        <w:t>refoulment</w:t>
      </w:r>
      <w:proofErr w:type="spellEnd"/>
    </w:p>
    <w:p w:rsidR="0045055E" w:rsidRPr="00347524" w:rsidRDefault="0045055E" w:rsidP="003C49B8">
      <w:pPr>
        <w:spacing w:line="240" w:lineRule="auto"/>
        <w:rPr>
          <w:lang w:val="en-GB"/>
        </w:rPr>
      </w:pPr>
      <w:r w:rsidRPr="00347524">
        <w:rPr>
          <w:lang w:val="en-GB"/>
        </w:rPr>
        <w:t xml:space="preserve">On </w:t>
      </w:r>
      <w:r w:rsidR="00F0514A" w:rsidRPr="00347524">
        <w:rPr>
          <w:lang w:val="en-GB"/>
        </w:rPr>
        <w:t>the 20</w:t>
      </w:r>
      <w:r w:rsidR="00F0514A" w:rsidRPr="00347524">
        <w:rPr>
          <w:vertAlign w:val="superscript"/>
          <w:lang w:val="en-GB"/>
        </w:rPr>
        <w:t>th</w:t>
      </w:r>
      <w:r w:rsidR="00F0514A" w:rsidRPr="00347524">
        <w:rPr>
          <w:lang w:val="en-GB"/>
        </w:rPr>
        <w:t xml:space="preserve"> of November 2015</w:t>
      </w:r>
      <w:r w:rsidRPr="00347524">
        <w:rPr>
          <w:lang w:val="en-GB"/>
        </w:rPr>
        <w:t xml:space="preserve"> amendments to section 32 of the Immigration </w:t>
      </w:r>
      <w:r w:rsidR="002A4621" w:rsidRPr="00347524">
        <w:rPr>
          <w:lang w:val="en-GB"/>
        </w:rPr>
        <w:t>Act, indicating</w:t>
      </w:r>
      <w:r w:rsidR="00F0514A" w:rsidRPr="00347524">
        <w:rPr>
          <w:lang w:val="en-GB"/>
        </w:rPr>
        <w:t xml:space="preserve"> </w:t>
      </w:r>
      <w:r w:rsidRPr="00347524">
        <w:rPr>
          <w:lang w:val="en-GB"/>
        </w:rPr>
        <w:t>when the immigration authorities may decide not to examine the merits of an application for protection</w:t>
      </w:r>
      <w:r w:rsidR="00F0514A" w:rsidRPr="00347524">
        <w:rPr>
          <w:lang w:val="en-GB"/>
        </w:rPr>
        <w:t>,</w:t>
      </w:r>
      <w:r w:rsidRPr="00347524">
        <w:rPr>
          <w:lang w:val="en-GB"/>
        </w:rPr>
        <w:t xml:space="preserve"> entered into force. This provision allows Norwegian authorities to refuse to examine the merits of an application for asylum </w:t>
      </w:r>
      <w:r w:rsidR="00437A0C" w:rsidRPr="00347524">
        <w:rPr>
          <w:lang w:val="en-GB"/>
        </w:rPr>
        <w:t>of</w:t>
      </w:r>
      <w:r w:rsidRPr="00347524">
        <w:rPr>
          <w:lang w:val="en-GB"/>
        </w:rPr>
        <w:t xml:space="preserve"> persons who stayed in a safe third country before arriving in Norway. The amendment removed the </w:t>
      </w:r>
      <w:r w:rsidR="00C053DB" w:rsidRPr="00347524">
        <w:rPr>
          <w:lang w:val="en-GB"/>
        </w:rPr>
        <w:t>condition</w:t>
      </w:r>
      <w:r w:rsidRPr="00347524">
        <w:rPr>
          <w:lang w:val="en-GB"/>
        </w:rPr>
        <w:t xml:space="preserve"> that the person is given access to the asylum procedure in the return country.</w:t>
      </w:r>
    </w:p>
    <w:p w:rsidR="0045055E" w:rsidRPr="00347524" w:rsidRDefault="0045055E" w:rsidP="003C49B8">
      <w:pPr>
        <w:spacing w:line="240" w:lineRule="auto"/>
        <w:rPr>
          <w:lang w:val="en-GB"/>
        </w:rPr>
      </w:pPr>
      <w:r w:rsidRPr="00347524">
        <w:rPr>
          <w:lang w:val="en-GB"/>
        </w:rPr>
        <w:t xml:space="preserve">The Ministry of Justice and Public Security instructed the Norwegian Directorate of Immigration (UDI) and the Immigration Appeals Board (UNE) on </w:t>
      </w:r>
      <w:r w:rsidR="002A4621" w:rsidRPr="00347524">
        <w:rPr>
          <w:lang w:val="en-GB"/>
        </w:rPr>
        <w:t>the 24</w:t>
      </w:r>
      <w:r w:rsidR="002A4621" w:rsidRPr="00347524">
        <w:rPr>
          <w:vertAlign w:val="superscript"/>
          <w:lang w:val="en-GB"/>
        </w:rPr>
        <w:t>th</w:t>
      </w:r>
      <w:r w:rsidR="002A4621" w:rsidRPr="00347524">
        <w:rPr>
          <w:lang w:val="en-GB"/>
        </w:rPr>
        <w:t xml:space="preserve"> of November 2015</w:t>
      </w:r>
      <w:r w:rsidRPr="00347524">
        <w:rPr>
          <w:lang w:val="en-GB"/>
        </w:rPr>
        <w:t xml:space="preserve"> about the treatment of asylum applications from persons who have stayed in Russia, including the application of the Immigration Act, section 32 in these cases (Circular No. </w:t>
      </w:r>
      <w:proofErr w:type="gramStart"/>
      <w:r w:rsidRPr="00347524">
        <w:rPr>
          <w:lang w:val="en-GB"/>
        </w:rPr>
        <w:t>GI-13/2015).</w:t>
      </w:r>
      <w:proofErr w:type="gramEnd"/>
      <w:r w:rsidRPr="00347524">
        <w:rPr>
          <w:lang w:val="en-GB"/>
        </w:rPr>
        <w:t xml:space="preserve"> The circular stated that</w:t>
      </w:r>
      <w:r w:rsidR="002A4621" w:rsidRPr="00347524">
        <w:rPr>
          <w:lang w:val="en-GB"/>
        </w:rPr>
        <w:t>,</w:t>
      </w:r>
      <w:r w:rsidRPr="00347524">
        <w:rPr>
          <w:lang w:val="en-GB"/>
        </w:rPr>
        <w:t xml:space="preserve"> Russia is a safe country for most third country nationals and that the principle is that </w:t>
      </w:r>
      <w:r w:rsidR="002A4621" w:rsidRPr="00347524">
        <w:rPr>
          <w:lang w:val="en-GB"/>
        </w:rPr>
        <w:t xml:space="preserve">the </w:t>
      </w:r>
      <w:r w:rsidRPr="00347524">
        <w:rPr>
          <w:lang w:val="en-GB"/>
        </w:rPr>
        <w:t xml:space="preserve">examination of the merits of an asylum application shall be refused if the foreign national has stayed in Russia.  </w:t>
      </w:r>
    </w:p>
    <w:p w:rsidR="0045055E" w:rsidRPr="00347524" w:rsidRDefault="0045055E" w:rsidP="003C49B8">
      <w:pPr>
        <w:spacing w:line="240" w:lineRule="auto"/>
        <w:rPr>
          <w:lang w:val="en-GB"/>
        </w:rPr>
      </w:pPr>
      <w:r w:rsidRPr="00347524">
        <w:rPr>
          <w:lang w:val="en-GB"/>
        </w:rPr>
        <w:t>Even though the circular stated that exceptions should be made if</w:t>
      </w:r>
      <w:r w:rsidR="002A4621" w:rsidRPr="00347524">
        <w:rPr>
          <w:lang w:val="en-GB"/>
        </w:rPr>
        <w:t>,</w:t>
      </w:r>
      <w:r w:rsidRPr="00347524">
        <w:rPr>
          <w:lang w:val="en-GB"/>
        </w:rPr>
        <w:t xml:space="preserve"> there were specific reasons to believe that the asylum seeker would be in real danger of being subjected to acts that would violate ECHR art. 3, it was clearly stated that Russia in general was a safe country for return. Weight was put on the fact that Russia is a member of the Council</w:t>
      </w:r>
      <w:r w:rsidR="00437A0C" w:rsidRPr="00347524">
        <w:rPr>
          <w:lang w:val="en-GB"/>
        </w:rPr>
        <w:t xml:space="preserve"> of Europe</w:t>
      </w:r>
      <w:r w:rsidRPr="00347524">
        <w:rPr>
          <w:lang w:val="en-GB"/>
        </w:rPr>
        <w:t xml:space="preserve"> and a Contracting Party to the ECHR, and that Russia has ratified the Refugee Convention.</w:t>
      </w:r>
    </w:p>
    <w:p w:rsidR="0045055E" w:rsidRPr="00347524" w:rsidRDefault="0045055E" w:rsidP="003C49B8">
      <w:pPr>
        <w:spacing w:line="240" w:lineRule="auto"/>
        <w:rPr>
          <w:rFonts w:cstheme="minorHAnsi"/>
          <w:bCs/>
          <w:lang w:val="en-GB"/>
        </w:rPr>
      </w:pPr>
      <w:r w:rsidRPr="00347524">
        <w:rPr>
          <w:rFonts w:cstheme="minorHAnsi"/>
          <w:lang w:val="en-GB"/>
        </w:rPr>
        <w:t xml:space="preserve">A few days before the circular was made public, on </w:t>
      </w:r>
      <w:r w:rsidR="002A4621" w:rsidRPr="00347524">
        <w:rPr>
          <w:rFonts w:cstheme="minorHAnsi"/>
          <w:lang w:val="en-GB"/>
        </w:rPr>
        <w:t>the 16</w:t>
      </w:r>
      <w:r w:rsidR="002A4621" w:rsidRPr="00347524">
        <w:rPr>
          <w:rFonts w:cstheme="minorHAnsi"/>
          <w:vertAlign w:val="superscript"/>
          <w:lang w:val="en-GB"/>
        </w:rPr>
        <w:t>th</w:t>
      </w:r>
      <w:r w:rsidR="002A4621" w:rsidRPr="00347524">
        <w:rPr>
          <w:rFonts w:cstheme="minorHAnsi"/>
          <w:lang w:val="en-GB"/>
        </w:rPr>
        <w:t xml:space="preserve"> of November 2015</w:t>
      </w:r>
      <w:r w:rsidRPr="00347524">
        <w:rPr>
          <w:rFonts w:cstheme="minorHAnsi"/>
          <w:lang w:val="en-GB"/>
        </w:rPr>
        <w:t xml:space="preserve">, </w:t>
      </w:r>
      <w:r w:rsidR="00437A0C" w:rsidRPr="00347524">
        <w:rPr>
          <w:rFonts w:cstheme="minorHAnsi"/>
          <w:bCs/>
          <w:lang w:val="en-GB"/>
        </w:rPr>
        <w:t>t</w:t>
      </w:r>
      <w:r w:rsidRPr="00347524">
        <w:rPr>
          <w:rFonts w:cstheme="minorHAnsi"/>
          <w:bCs/>
          <w:lang w:val="en-GB"/>
        </w:rPr>
        <w:t>he Norwegian Country of Origin Information Centre</w:t>
      </w:r>
      <w:r w:rsidR="00437A0C" w:rsidRPr="00347524">
        <w:rPr>
          <w:rFonts w:cstheme="minorHAnsi"/>
          <w:bCs/>
          <w:lang w:val="en-GB"/>
        </w:rPr>
        <w:t xml:space="preserve"> (</w:t>
      </w:r>
      <w:proofErr w:type="spellStart"/>
      <w:r w:rsidRPr="00347524">
        <w:rPr>
          <w:rFonts w:cstheme="minorHAnsi"/>
          <w:bCs/>
          <w:lang w:val="en-GB"/>
        </w:rPr>
        <w:t>Landinfo</w:t>
      </w:r>
      <w:proofErr w:type="spellEnd"/>
      <w:r w:rsidR="00437A0C" w:rsidRPr="00347524">
        <w:rPr>
          <w:rFonts w:cstheme="minorHAnsi"/>
          <w:bCs/>
          <w:lang w:val="en-GB"/>
        </w:rPr>
        <w:t>)</w:t>
      </w:r>
      <w:r w:rsidRPr="00347524">
        <w:rPr>
          <w:rFonts w:cstheme="minorHAnsi"/>
          <w:bCs/>
          <w:lang w:val="en-GB"/>
        </w:rPr>
        <w:t>, published a report about the asylum system in Russia</w:t>
      </w:r>
      <w:r w:rsidR="00146039" w:rsidRPr="00347524">
        <w:rPr>
          <w:rFonts w:cstheme="minorHAnsi"/>
          <w:bCs/>
          <w:lang w:val="en-GB"/>
        </w:rPr>
        <w:t>. T</w:t>
      </w:r>
      <w:r w:rsidRPr="00347524">
        <w:rPr>
          <w:rFonts w:cstheme="minorHAnsi"/>
          <w:bCs/>
          <w:lang w:val="en-GB"/>
        </w:rPr>
        <w:t>he report</w:t>
      </w:r>
      <w:r w:rsidR="00146039" w:rsidRPr="00347524">
        <w:rPr>
          <w:rFonts w:cstheme="minorHAnsi"/>
          <w:bCs/>
          <w:lang w:val="en-GB"/>
        </w:rPr>
        <w:t xml:space="preserve"> stated</w:t>
      </w:r>
      <w:r w:rsidRPr="00347524">
        <w:rPr>
          <w:rFonts w:cstheme="minorHAnsi"/>
          <w:bCs/>
          <w:lang w:val="en-GB"/>
        </w:rPr>
        <w:t xml:space="preserve"> that the ECtHR has issued several judgements against Russia for expelling or deporting persons to countries where they could face torture or inhuman treatment, e.g. Uzbekistan and </w:t>
      </w:r>
      <w:proofErr w:type="spellStart"/>
      <w:r w:rsidRPr="00347524">
        <w:rPr>
          <w:rFonts w:cstheme="minorHAnsi"/>
          <w:bCs/>
          <w:lang w:val="en-GB"/>
        </w:rPr>
        <w:t>Tadjikistan</w:t>
      </w:r>
      <w:proofErr w:type="spellEnd"/>
      <w:r w:rsidRPr="00347524">
        <w:rPr>
          <w:rFonts w:cstheme="minorHAnsi"/>
          <w:bCs/>
          <w:lang w:val="en-GB"/>
        </w:rPr>
        <w:t xml:space="preserve">. </w:t>
      </w:r>
      <w:proofErr w:type="spellStart"/>
      <w:r w:rsidRPr="00347524">
        <w:rPr>
          <w:rFonts w:cstheme="minorHAnsi"/>
          <w:bCs/>
          <w:lang w:val="en-GB"/>
        </w:rPr>
        <w:t>Landinfo</w:t>
      </w:r>
      <w:proofErr w:type="spellEnd"/>
      <w:r w:rsidRPr="00347524">
        <w:rPr>
          <w:rFonts w:cstheme="minorHAnsi"/>
          <w:bCs/>
          <w:lang w:val="en-GB"/>
        </w:rPr>
        <w:t xml:space="preserve"> also referred to a report by UNHCR regarding Syrian refugees in Europe</w:t>
      </w:r>
      <w:r w:rsidR="00146039" w:rsidRPr="00347524">
        <w:rPr>
          <w:rFonts w:cstheme="minorHAnsi"/>
          <w:bCs/>
          <w:lang w:val="en-GB"/>
        </w:rPr>
        <w:t xml:space="preserve">, which </w:t>
      </w:r>
      <w:r w:rsidRPr="00347524">
        <w:rPr>
          <w:rFonts w:cstheme="minorHAnsi"/>
          <w:bCs/>
          <w:lang w:val="en-GB"/>
        </w:rPr>
        <w:t>stated that 12 Syrian citizens had been deported from Russia to Syria.</w:t>
      </w:r>
      <w:r w:rsidRPr="00347524">
        <w:rPr>
          <w:rStyle w:val="Fotnotereferanse"/>
          <w:rFonts w:cstheme="minorHAnsi"/>
          <w:lang w:val="en-GB"/>
        </w:rPr>
        <w:footnoteReference w:id="37"/>
      </w:r>
    </w:p>
    <w:p w:rsidR="0045055E" w:rsidRPr="00347524" w:rsidRDefault="0045055E" w:rsidP="003C49B8">
      <w:pPr>
        <w:spacing w:line="240" w:lineRule="auto"/>
        <w:rPr>
          <w:lang w:val="en-GB"/>
        </w:rPr>
      </w:pPr>
      <w:proofErr w:type="spellStart"/>
      <w:r w:rsidRPr="00347524">
        <w:rPr>
          <w:rFonts w:cstheme="minorHAnsi"/>
          <w:bCs/>
          <w:lang w:val="en-GB"/>
        </w:rPr>
        <w:t>Landinfo</w:t>
      </w:r>
      <w:proofErr w:type="spellEnd"/>
      <w:r w:rsidRPr="00347524">
        <w:rPr>
          <w:rFonts w:cstheme="minorHAnsi"/>
          <w:bCs/>
          <w:lang w:val="en-GB"/>
        </w:rPr>
        <w:t xml:space="preserve"> also quoted sources claiming that the Russian procedure for determining refugee status was not fair, that </w:t>
      </w:r>
      <w:r w:rsidR="00146039" w:rsidRPr="00347524">
        <w:rPr>
          <w:rFonts w:cstheme="minorHAnsi"/>
          <w:bCs/>
          <w:lang w:val="en-GB"/>
        </w:rPr>
        <w:t>the</w:t>
      </w:r>
      <w:r w:rsidRPr="00347524">
        <w:rPr>
          <w:rFonts w:cstheme="minorHAnsi"/>
          <w:bCs/>
          <w:lang w:val="en-GB"/>
        </w:rPr>
        <w:t xml:space="preserve"> courts </w:t>
      </w:r>
      <w:r w:rsidR="00146039" w:rsidRPr="00347524">
        <w:rPr>
          <w:rFonts w:cstheme="minorHAnsi"/>
          <w:bCs/>
          <w:lang w:val="en-GB"/>
        </w:rPr>
        <w:t>tended always to side</w:t>
      </w:r>
      <w:r w:rsidRPr="00347524">
        <w:rPr>
          <w:rFonts w:cstheme="minorHAnsi"/>
          <w:bCs/>
          <w:lang w:val="en-GB"/>
        </w:rPr>
        <w:t xml:space="preserve"> with the Russian immigration authorities and that deportation of persons whose asylum case was still pending had occurred. </w:t>
      </w:r>
      <w:r w:rsidRPr="00347524">
        <w:rPr>
          <w:lang w:val="en-GB"/>
        </w:rPr>
        <w:t xml:space="preserve">The Norwegian Ministry of Justice and Public Security was therefore aware of the </w:t>
      </w:r>
      <w:r w:rsidR="00146039" w:rsidRPr="00347524">
        <w:rPr>
          <w:lang w:val="en-GB"/>
        </w:rPr>
        <w:t>flaws of</w:t>
      </w:r>
      <w:r w:rsidRPr="00347524">
        <w:rPr>
          <w:lang w:val="en-GB"/>
        </w:rPr>
        <w:t xml:space="preserve"> the Russian asylum system when they published the circular on </w:t>
      </w:r>
      <w:r w:rsidR="001A694E" w:rsidRPr="00347524">
        <w:rPr>
          <w:lang w:val="en-GB"/>
        </w:rPr>
        <w:t>the 24</w:t>
      </w:r>
      <w:r w:rsidR="001A694E" w:rsidRPr="00347524">
        <w:rPr>
          <w:vertAlign w:val="superscript"/>
          <w:lang w:val="en-GB"/>
        </w:rPr>
        <w:t>th</w:t>
      </w:r>
      <w:r w:rsidR="001A694E" w:rsidRPr="00347524">
        <w:rPr>
          <w:lang w:val="en-GB"/>
        </w:rPr>
        <w:t xml:space="preserve"> of November 2015.</w:t>
      </w:r>
    </w:p>
    <w:p w:rsidR="0045055E" w:rsidRPr="00347524" w:rsidRDefault="0045055E" w:rsidP="003C49B8">
      <w:pPr>
        <w:spacing w:line="240" w:lineRule="auto"/>
        <w:rPr>
          <w:rFonts w:eastAsiaTheme="majorEastAsia" w:cstheme="majorBidi"/>
          <w:bCs/>
          <w:lang w:val="en-GB"/>
        </w:rPr>
      </w:pPr>
      <w:r w:rsidRPr="00347524">
        <w:rPr>
          <w:rFonts w:eastAsiaTheme="majorEastAsia" w:cstheme="majorBidi"/>
          <w:bCs/>
          <w:lang w:val="en-GB"/>
        </w:rPr>
        <w:t xml:space="preserve">UNHCR presented its observations on the law amendments in a letter to </w:t>
      </w:r>
      <w:r w:rsidRPr="00347524">
        <w:rPr>
          <w:rFonts w:cstheme="minorHAnsi"/>
          <w:lang w:val="en-GB"/>
        </w:rPr>
        <w:t xml:space="preserve">Norway’s Minister of Immigration and Integration, </w:t>
      </w:r>
      <w:proofErr w:type="spellStart"/>
      <w:r w:rsidRPr="00347524">
        <w:rPr>
          <w:rFonts w:cstheme="minorHAnsi"/>
          <w:lang w:val="en-GB"/>
        </w:rPr>
        <w:t>Sylvi</w:t>
      </w:r>
      <w:proofErr w:type="spellEnd"/>
      <w:r w:rsidRPr="00347524">
        <w:rPr>
          <w:rFonts w:cstheme="minorHAnsi"/>
          <w:lang w:val="en-GB"/>
        </w:rPr>
        <w:t xml:space="preserve"> </w:t>
      </w:r>
      <w:proofErr w:type="spellStart"/>
      <w:r w:rsidRPr="00347524">
        <w:rPr>
          <w:rFonts w:cstheme="minorHAnsi"/>
          <w:lang w:val="en-GB"/>
        </w:rPr>
        <w:t>Listhaug</w:t>
      </w:r>
      <w:proofErr w:type="spellEnd"/>
      <w:r w:rsidRPr="00347524">
        <w:rPr>
          <w:rFonts w:cstheme="minorHAnsi"/>
          <w:lang w:val="en-GB"/>
        </w:rPr>
        <w:t xml:space="preserve"> on </w:t>
      </w:r>
      <w:r w:rsidR="001A694E" w:rsidRPr="00347524">
        <w:rPr>
          <w:rFonts w:cstheme="minorHAnsi"/>
          <w:lang w:val="en-GB"/>
        </w:rPr>
        <w:t>the 23</w:t>
      </w:r>
      <w:r w:rsidR="001A694E" w:rsidRPr="00347524">
        <w:rPr>
          <w:rFonts w:cstheme="minorHAnsi"/>
          <w:vertAlign w:val="superscript"/>
          <w:lang w:val="en-GB"/>
        </w:rPr>
        <w:t>rd</w:t>
      </w:r>
      <w:r w:rsidR="001A694E" w:rsidRPr="00347524">
        <w:rPr>
          <w:rFonts w:cstheme="minorHAnsi"/>
          <w:lang w:val="en-GB"/>
        </w:rPr>
        <w:t xml:space="preserve"> of December 2015</w:t>
      </w:r>
      <w:r w:rsidRPr="00347524">
        <w:rPr>
          <w:rFonts w:cstheme="minorHAnsi"/>
          <w:lang w:val="en-GB"/>
        </w:rPr>
        <w:t>.</w:t>
      </w:r>
      <w:r w:rsidRPr="00347524">
        <w:rPr>
          <w:rFonts w:eastAsiaTheme="majorEastAsia" w:cstheme="minorHAnsi"/>
          <w:bCs/>
          <w:lang w:val="en-GB"/>
        </w:rPr>
        <w:t xml:space="preserve"> UNHCRs understanding of the law proposal were that a hybrid between the concepts of</w:t>
      </w:r>
      <w:r w:rsidR="001A694E" w:rsidRPr="00347524">
        <w:rPr>
          <w:rFonts w:eastAsiaTheme="majorEastAsia" w:cstheme="minorHAnsi"/>
          <w:bCs/>
          <w:lang w:val="en-GB"/>
        </w:rPr>
        <w:t xml:space="preserve"> a,</w:t>
      </w:r>
      <w:r w:rsidRPr="00347524">
        <w:rPr>
          <w:rFonts w:eastAsiaTheme="majorEastAsia" w:cstheme="minorHAnsi"/>
          <w:bCs/>
          <w:lang w:val="en-GB"/>
        </w:rPr>
        <w:t xml:space="preserve"> “safe third country” and “safe country of origin” had been created and that this was done</w:t>
      </w:r>
      <w:r w:rsidR="001A694E" w:rsidRPr="00347524">
        <w:rPr>
          <w:rFonts w:eastAsiaTheme="majorEastAsia" w:cstheme="minorHAnsi"/>
          <w:bCs/>
          <w:lang w:val="en-GB"/>
        </w:rPr>
        <w:t>,</w:t>
      </w:r>
      <w:r w:rsidRPr="00347524">
        <w:rPr>
          <w:rFonts w:eastAsiaTheme="majorEastAsia" w:cstheme="minorHAnsi"/>
          <w:bCs/>
          <w:lang w:val="en-GB"/>
        </w:rPr>
        <w:t xml:space="preserve"> “without </w:t>
      </w:r>
      <w:r w:rsidR="00171CCF" w:rsidRPr="00347524">
        <w:rPr>
          <w:rFonts w:eastAsiaTheme="majorEastAsia" w:cstheme="minorHAnsi"/>
          <w:bCs/>
          <w:lang w:val="en-GB"/>
        </w:rPr>
        <w:t>applying</w:t>
      </w:r>
      <w:r w:rsidRPr="00347524">
        <w:rPr>
          <w:rFonts w:eastAsiaTheme="majorEastAsia" w:cstheme="minorHAnsi"/>
          <w:bCs/>
          <w:lang w:val="en-GB"/>
        </w:rPr>
        <w:t xml:space="preserve"> all of the established criteria and procedural safeguards for the implementation of these concepts”.</w:t>
      </w:r>
      <w:r w:rsidR="007C42A6" w:rsidRPr="00347524">
        <w:rPr>
          <w:rStyle w:val="Fotnotereferanse"/>
          <w:rFonts w:eastAsiaTheme="majorEastAsia" w:cstheme="minorHAnsi"/>
          <w:bCs/>
          <w:lang w:val="en-GB"/>
        </w:rPr>
        <w:footnoteReference w:id="38"/>
      </w:r>
    </w:p>
    <w:p w:rsidR="0045055E" w:rsidRPr="00347524" w:rsidRDefault="0045055E" w:rsidP="003C49B8">
      <w:pPr>
        <w:spacing w:line="240" w:lineRule="auto"/>
        <w:rPr>
          <w:rFonts w:eastAsiaTheme="majorEastAsia" w:cstheme="majorBidi"/>
          <w:bCs/>
          <w:lang w:val="en-GB"/>
        </w:rPr>
      </w:pPr>
      <w:r w:rsidRPr="00347524">
        <w:rPr>
          <w:rFonts w:eastAsiaTheme="majorEastAsia" w:cstheme="majorBidi"/>
          <w:bCs/>
          <w:lang w:val="en-GB"/>
        </w:rPr>
        <w:t xml:space="preserve">In a letter </w:t>
      </w:r>
      <w:r w:rsidR="00D663BB" w:rsidRPr="00347524">
        <w:rPr>
          <w:rFonts w:eastAsiaTheme="majorEastAsia" w:cstheme="majorBidi"/>
          <w:bCs/>
          <w:lang w:val="en-GB"/>
        </w:rPr>
        <w:t xml:space="preserve">dated </w:t>
      </w:r>
      <w:r w:rsidR="001A694E" w:rsidRPr="00347524">
        <w:rPr>
          <w:rFonts w:eastAsiaTheme="majorEastAsia" w:cstheme="majorBidi"/>
          <w:bCs/>
          <w:lang w:val="en-GB"/>
        </w:rPr>
        <w:t>7</w:t>
      </w:r>
      <w:r w:rsidR="001A694E" w:rsidRPr="00347524">
        <w:rPr>
          <w:rFonts w:eastAsiaTheme="majorEastAsia" w:cstheme="majorBidi"/>
          <w:bCs/>
          <w:vertAlign w:val="superscript"/>
          <w:lang w:val="en-GB"/>
        </w:rPr>
        <w:t>th</w:t>
      </w:r>
      <w:r w:rsidR="001A694E" w:rsidRPr="00347524">
        <w:rPr>
          <w:rFonts w:eastAsiaTheme="majorEastAsia" w:cstheme="majorBidi"/>
          <w:bCs/>
          <w:lang w:val="en-GB"/>
        </w:rPr>
        <w:t xml:space="preserve"> of January 2016</w:t>
      </w:r>
      <w:r w:rsidRPr="00347524">
        <w:rPr>
          <w:rFonts w:eastAsiaTheme="majorEastAsia" w:cstheme="majorBidi"/>
          <w:bCs/>
          <w:lang w:val="en-GB"/>
        </w:rPr>
        <w:t>to the UNHCR Regional Representation for Northern Europe, Amnesty International Norway, the Norwegian Organisation for Asylum Seekers (NOAS) and the N</w:t>
      </w:r>
      <w:r w:rsidR="00146039" w:rsidRPr="00347524">
        <w:rPr>
          <w:rFonts w:eastAsiaTheme="majorEastAsia" w:cstheme="majorBidi"/>
          <w:bCs/>
          <w:lang w:val="en-GB"/>
        </w:rPr>
        <w:t>orwegian Helsinki Committee</w:t>
      </w:r>
      <w:r w:rsidRPr="00347524">
        <w:rPr>
          <w:rFonts w:eastAsiaTheme="majorEastAsia" w:cstheme="majorBidi"/>
          <w:bCs/>
          <w:lang w:val="en-GB"/>
        </w:rPr>
        <w:t>, expressed “concerns that Norway now fails to uphold its international obligations to respect the rights of everyone to seek asylum”.</w:t>
      </w:r>
      <w:r w:rsidRPr="00347524">
        <w:rPr>
          <w:rStyle w:val="Fotnotereferanse"/>
          <w:lang w:val="en-GB"/>
        </w:rPr>
        <w:footnoteReference w:id="39"/>
      </w:r>
      <w:r w:rsidRPr="00347524">
        <w:rPr>
          <w:rFonts w:eastAsiaTheme="majorEastAsia" w:cstheme="majorBidi"/>
          <w:bCs/>
          <w:lang w:val="en-GB"/>
        </w:rPr>
        <w:t xml:space="preserve"> The main problem was that Norway risks denying persons who </w:t>
      </w:r>
      <w:proofErr w:type="gramStart"/>
      <w:r w:rsidRPr="00347524">
        <w:rPr>
          <w:rFonts w:eastAsiaTheme="majorEastAsia" w:cstheme="majorBidi"/>
          <w:bCs/>
          <w:lang w:val="en-GB"/>
        </w:rPr>
        <w:t>need protection</w:t>
      </w:r>
      <w:proofErr w:type="gramEnd"/>
      <w:r w:rsidRPr="00347524">
        <w:rPr>
          <w:rFonts w:eastAsiaTheme="majorEastAsia" w:cstheme="majorBidi"/>
          <w:bCs/>
          <w:lang w:val="en-GB"/>
        </w:rPr>
        <w:t xml:space="preserve"> access to its asylum procedure. The organizations argued that asylum seekers coming to Norway from Russia, upon rejection</w:t>
      </w:r>
      <w:r w:rsidR="001A694E" w:rsidRPr="00347524">
        <w:rPr>
          <w:rFonts w:eastAsiaTheme="majorEastAsia" w:cstheme="majorBidi"/>
          <w:bCs/>
          <w:lang w:val="en-GB"/>
        </w:rPr>
        <w:t>,</w:t>
      </w:r>
      <w:r w:rsidRPr="00347524">
        <w:rPr>
          <w:rFonts w:eastAsiaTheme="majorEastAsia" w:cstheme="majorBidi"/>
          <w:bCs/>
          <w:lang w:val="en-GB"/>
        </w:rPr>
        <w:t xml:space="preserve"> risked being returned from Russia</w:t>
      </w:r>
      <w:r w:rsidR="001A694E" w:rsidRPr="00347524">
        <w:rPr>
          <w:rFonts w:eastAsiaTheme="majorEastAsia" w:cstheme="majorBidi"/>
          <w:bCs/>
          <w:lang w:val="en-GB"/>
        </w:rPr>
        <w:t>,</w:t>
      </w:r>
      <w:r w:rsidRPr="00347524">
        <w:rPr>
          <w:rFonts w:eastAsiaTheme="majorEastAsia" w:cstheme="majorBidi"/>
          <w:bCs/>
          <w:lang w:val="en-GB"/>
        </w:rPr>
        <w:t xml:space="preserve"> “to countries where the risk of torture or other inhuman treatment is imminent </w:t>
      </w:r>
      <w:proofErr w:type="gramStart"/>
      <w:r w:rsidRPr="00347524">
        <w:rPr>
          <w:rFonts w:eastAsiaTheme="majorEastAsia" w:cstheme="majorBidi"/>
          <w:bCs/>
          <w:lang w:val="en-GB"/>
        </w:rPr>
        <w:t>…  Arguing</w:t>
      </w:r>
      <w:proofErr w:type="gramEnd"/>
      <w:r w:rsidRPr="00347524">
        <w:rPr>
          <w:rFonts w:eastAsiaTheme="majorEastAsia" w:cstheme="majorBidi"/>
          <w:bCs/>
          <w:lang w:val="en-GB"/>
        </w:rPr>
        <w:t xml:space="preserve"> that Russia is safe third country is contrary to experiences from a range of cases.” </w:t>
      </w:r>
    </w:p>
    <w:p w:rsidR="0045055E" w:rsidRPr="00347524" w:rsidRDefault="0045055E" w:rsidP="003C49B8">
      <w:pPr>
        <w:spacing w:line="240" w:lineRule="auto"/>
        <w:rPr>
          <w:rFonts w:cstheme="minorHAnsi"/>
          <w:lang w:val="en-GB"/>
        </w:rPr>
      </w:pPr>
      <w:r w:rsidRPr="00347524">
        <w:rPr>
          <w:rFonts w:eastAsiaTheme="majorEastAsia" w:cstheme="minorHAnsi"/>
          <w:bCs/>
          <w:lang w:val="en-GB"/>
        </w:rPr>
        <w:t xml:space="preserve">UNHCR expressed similar concerns in a letter </w:t>
      </w:r>
      <w:r w:rsidR="00D663BB" w:rsidRPr="00347524">
        <w:rPr>
          <w:rFonts w:eastAsiaTheme="majorEastAsia" w:cstheme="minorHAnsi"/>
          <w:bCs/>
          <w:lang w:val="en-GB"/>
        </w:rPr>
        <w:t>dated</w:t>
      </w:r>
      <w:r w:rsidR="00903383" w:rsidRPr="00347524">
        <w:rPr>
          <w:rFonts w:eastAsiaTheme="majorEastAsia" w:cstheme="minorHAnsi"/>
          <w:bCs/>
          <w:lang w:val="en-GB"/>
        </w:rPr>
        <w:t xml:space="preserve"> </w:t>
      </w:r>
      <w:r w:rsidR="001A694E" w:rsidRPr="00347524">
        <w:rPr>
          <w:rFonts w:eastAsiaTheme="majorEastAsia" w:cstheme="minorHAnsi"/>
          <w:bCs/>
          <w:lang w:val="en-GB"/>
        </w:rPr>
        <w:t>15</w:t>
      </w:r>
      <w:r w:rsidR="001A694E" w:rsidRPr="00347524">
        <w:rPr>
          <w:rFonts w:eastAsiaTheme="majorEastAsia" w:cstheme="minorHAnsi"/>
          <w:bCs/>
          <w:vertAlign w:val="superscript"/>
          <w:lang w:val="en-GB"/>
        </w:rPr>
        <w:t>th</w:t>
      </w:r>
      <w:r w:rsidR="001A694E" w:rsidRPr="00347524">
        <w:rPr>
          <w:rFonts w:eastAsiaTheme="majorEastAsia" w:cstheme="minorHAnsi"/>
          <w:bCs/>
          <w:lang w:val="en-GB"/>
        </w:rPr>
        <w:t xml:space="preserve"> of February 2016</w:t>
      </w:r>
      <w:r w:rsidRPr="00347524">
        <w:rPr>
          <w:rFonts w:eastAsiaTheme="majorEastAsia" w:cstheme="minorHAnsi"/>
          <w:bCs/>
          <w:lang w:val="en-GB"/>
        </w:rPr>
        <w:t xml:space="preserve"> to </w:t>
      </w:r>
      <w:r w:rsidRPr="00347524">
        <w:rPr>
          <w:rFonts w:cstheme="minorHAnsi"/>
          <w:lang w:val="en-GB"/>
        </w:rPr>
        <w:t>the Minister of Immigration and Integration</w:t>
      </w:r>
      <w:r w:rsidRPr="00347524">
        <w:rPr>
          <w:rFonts w:eastAsiaTheme="majorEastAsia" w:cstheme="minorHAnsi"/>
          <w:bCs/>
          <w:lang w:val="en-GB"/>
        </w:rPr>
        <w:t>.</w:t>
      </w:r>
      <w:r w:rsidRPr="00347524">
        <w:rPr>
          <w:rStyle w:val="Fotnotereferanse"/>
          <w:rFonts w:cstheme="minorHAnsi"/>
          <w:lang w:val="en-GB"/>
        </w:rPr>
        <w:footnoteReference w:id="40"/>
      </w:r>
      <w:r w:rsidRPr="00347524">
        <w:rPr>
          <w:rFonts w:eastAsiaTheme="majorEastAsia" w:cstheme="minorHAnsi"/>
          <w:bCs/>
          <w:lang w:val="en-GB"/>
        </w:rPr>
        <w:t xml:space="preserve"> In the letter, UNHCR refers to UNHCR </w:t>
      </w:r>
      <w:proofErr w:type="spellStart"/>
      <w:r w:rsidRPr="00347524">
        <w:rPr>
          <w:rFonts w:eastAsiaTheme="majorEastAsia" w:cstheme="minorHAnsi"/>
          <w:bCs/>
          <w:lang w:val="en-GB"/>
        </w:rPr>
        <w:t>EXcom</w:t>
      </w:r>
      <w:proofErr w:type="spellEnd"/>
      <w:r w:rsidRPr="00347524">
        <w:rPr>
          <w:rFonts w:eastAsiaTheme="majorEastAsia" w:cstheme="minorHAnsi"/>
          <w:bCs/>
          <w:lang w:val="en-GB"/>
        </w:rPr>
        <w:t xml:space="preserve"> Conclusion </w:t>
      </w:r>
      <w:r w:rsidRPr="00347524">
        <w:rPr>
          <w:rFonts w:cstheme="minorHAnsi"/>
          <w:lang w:val="en-GB"/>
        </w:rPr>
        <w:t>No.85 (XIIX) – 1998 which stresses that</w:t>
      </w:r>
      <w:r w:rsidR="001A694E" w:rsidRPr="00347524">
        <w:rPr>
          <w:rFonts w:cstheme="minorHAnsi"/>
          <w:lang w:val="en-GB"/>
        </w:rPr>
        <w:t>,</w:t>
      </w:r>
      <w:r w:rsidRPr="00347524">
        <w:rPr>
          <w:rFonts w:cstheme="minorHAnsi"/>
          <w:lang w:val="en-GB"/>
        </w:rPr>
        <w:t xml:space="preserve"> “as regards the return to a third country of an asylum-seeker it should be established that the third country will treat the </w:t>
      </w:r>
      <w:r w:rsidR="00146039" w:rsidRPr="00347524">
        <w:rPr>
          <w:rFonts w:cstheme="minorHAnsi"/>
          <w:lang w:val="en-GB"/>
        </w:rPr>
        <w:t>asylum</w:t>
      </w:r>
      <w:r w:rsidRPr="00347524">
        <w:rPr>
          <w:rFonts w:cstheme="minorHAnsi"/>
          <w:lang w:val="en-GB"/>
        </w:rPr>
        <w:t xml:space="preserve">-seeker(s) in accordance with accepted international standards, will ensure effective protection against </w:t>
      </w:r>
      <w:proofErr w:type="spellStart"/>
      <w:r w:rsidR="00146039" w:rsidRPr="00347524">
        <w:rPr>
          <w:rFonts w:cstheme="minorHAnsi"/>
          <w:lang w:val="en-GB"/>
        </w:rPr>
        <w:t>refoulment</w:t>
      </w:r>
      <w:proofErr w:type="spellEnd"/>
      <w:r w:rsidRPr="00347524">
        <w:rPr>
          <w:rFonts w:cstheme="minorHAnsi"/>
          <w:lang w:val="en-GB"/>
        </w:rPr>
        <w:t xml:space="preserve">, and will provide the </w:t>
      </w:r>
      <w:r w:rsidR="00146039" w:rsidRPr="00347524">
        <w:rPr>
          <w:rFonts w:cstheme="minorHAnsi"/>
          <w:lang w:val="en-GB"/>
        </w:rPr>
        <w:t>asylum</w:t>
      </w:r>
      <w:r w:rsidRPr="00347524">
        <w:rPr>
          <w:rFonts w:cstheme="minorHAnsi"/>
          <w:lang w:val="en-GB"/>
        </w:rPr>
        <w:t xml:space="preserve">-seeker(s) with the possibility to seek and enjoy asylum”. </w:t>
      </w:r>
    </w:p>
    <w:p w:rsidR="0045055E" w:rsidRPr="00347524" w:rsidRDefault="0045055E" w:rsidP="003C49B8">
      <w:pPr>
        <w:spacing w:line="240" w:lineRule="auto"/>
        <w:rPr>
          <w:rFonts w:cstheme="minorHAnsi"/>
          <w:lang w:val="en-GB"/>
        </w:rPr>
      </w:pPr>
      <w:r w:rsidRPr="00347524">
        <w:rPr>
          <w:rFonts w:cstheme="minorHAnsi"/>
          <w:lang w:val="en-GB"/>
        </w:rPr>
        <w:t>In the same letter, UNHCR voices their concern over Russia as an asylum country, stating that “</w:t>
      </w:r>
      <w:r w:rsidR="00146039" w:rsidRPr="00347524">
        <w:rPr>
          <w:rFonts w:cstheme="minorHAnsi"/>
          <w:lang w:val="en-GB"/>
        </w:rPr>
        <w:t>[</w:t>
      </w:r>
      <w:proofErr w:type="spellStart"/>
      <w:r w:rsidR="00146039" w:rsidRPr="00347524">
        <w:rPr>
          <w:rFonts w:cstheme="minorHAnsi"/>
          <w:lang w:val="en-GB"/>
        </w:rPr>
        <w:t>i</w:t>
      </w:r>
      <w:proofErr w:type="spellEnd"/>
      <w:r w:rsidR="00146039" w:rsidRPr="00347524">
        <w:rPr>
          <w:rFonts w:cstheme="minorHAnsi"/>
          <w:lang w:val="en-GB"/>
        </w:rPr>
        <w:t>]</w:t>
      </w:r>
      <w:r w:rsidRPr="00347524">
        <w:rPr>
          <w:rFonts w:cstheme="minorHAnsi"/>
          <w:lang w:val="en-GB"/>
        </w:rPr>
        <w:t>n UNHCR’s assessment, asylum-seekers in the Russian Federation are at risk of arrest, detention and expulsion at all stages of the asylum process, including while attempting to apply for refugee and/or TA</w:t>
      </w:r>
      <w:r w:rsidR="00146039" w:rsidRPr="00347524">
        <w:rPr>
          <w:rFonts w:cstheme="minorHAnsi"/>
          <w:lang w:val="en-GB"/>
        </w:rPr>
        <w:t xml:space="preserve"> [temporary asylum]</w:t>
      </w:r>
      <w:r w:rsidRPr="00347524">
        <w:rPr>
          <w:rFonts w:cstheme="minorHAnsi"/>
          <w:lang w:val="en-GB"/>
        </w:rPr>
        <w:t xml:space="preserve"> status or after having applied for refugee and/or TA status in situations where the asylum-seeker has not been issued proper documentation.”</w:t>
      </w:r>
    </w:p>
    <w:p w:rsidR="0045055E" w:rsidRPr="00347524" w:rsidRDefault="0045055E" w:rsidP="003C49B8">
      <w:pPr>
        <w:spacing w:line="240" w:lineRule="auto"/>
        <w:rPr>
          <w:rFonts w:cstheme="minorHAnsi"/>
          <w:lang w:val="en-GB"/>
        </w:rPr>
      </w:pPr>
      <w:r w:rsidRPr="00347524">
        <w:rPr>
          <w:rFonts w:cstheme="minorHAnsi"/>
          <w:lang w:val="en-GB"/>
        </w:rPr>
        <w:t xml:space="preserve">On </w:t>
      </w:r>
      <w:r w:rsidR="00223625" w:rsidRPr="00347524">
        <w:rPr>
          <w:rFonts w:cstheme="minorHAnsi"/>
          <w:lang w:val="en-GB"/>
        </w:rPr>
        <w:t>the 19</w:t>
      </w:r>
      <w:r w:rsidR="00223625" w:rsidRPr="00347524">
        <w:rPr>
          <w:rFonts w:cstheme="minorHAnsi"/>
          <w:vertAlign w:val="superscript"/>
          <w:lang w:val="en-GB"/>
        </w:rPr>
        <w:t>th</w:t>
      </w:r>
      <w:r w:rsidR="00223625" w:rsidRPr="00347524">
        <w:rPr>
          <w:rFonts w:cstheme="minorHAnsi"/>
          <w:lang w:val="en-GB"/>
        </w:rPr>
        <w:t xml:space="preserve"> of January 2017 </w:t>
      </w:r>
      <w:r w:rsidRPr="00347524">
        <w:rPr>
          <w:rFonts w:cstheme="minorHAnsi"/>
          <w:lang w:val="en-GB"/>
        </w:rPr>
        <w:t>The Ministry of Justice and Public Security issued a consultation containing an evaluation of the temporary law amendments from November 2015 and a proposal to make the amendments permanent.</w:t>
      </w:r>
      <w:r w:rsidRPr="00347524">
        <w:rPr>
          <w:rStyle w:val="Fotnotereferanse"/>
          <w:rFonts w:cstheme="minorHAnsi"/>
          <w:lang w:val="en-GB"/>
        </w:rPr>
        <w:footnoteReference w:id="41"/>
      </w:r>
      <w:r w:rsidRPr="00347524">
        <w:rPr>
          <w:rFonts w:cstheme="minorHAnsi"/>
          <w:lang w:val="en-GB"/>
        </w:rPr>
        <w:t xml:space="preserve"> The </w:t>
      </w:r>
      <w:r w:rsidR="00146039" w:rsidRPr="00347524">
        <w:rPr>
          <w:rFonts w:cstheme="minorHAnsi"/>
          <w:lang w:val="en-GB"/>
        </w:rPr>
        <w:t>M</w:t>
      </w:r>
      <w:r w:rsidRPr="00347524">
        <w:rPr>
          <w:rFonts w:cstheme="minorHAnsi"/>
          <w:lang w:val="en-GB"/>
        </w:rPr>
        <w:t xml:space="preserve">inistry stated that Norway was not obliged to make sure that an asylum application will be assessed before referring an asylum seeker to a safe third country. It was noted that such criteria </w:t>
      </w:r>
      <w:r w:rsidR="00223625" w:rsidRPr="00347524">
        <w:rPr>
          <w:rFonts w:cstheme="minorHAnsi"/>
          <w:lang w:val="en-GB"/>
        </w:rPr>
        <w:t xml:space="preserve">were </w:t>
      </w:r>
      <w:r w:rsidRPr="00347524">
        <w:rPr>
          <w:rFonts w:cstheme="minorHAnsi"/>
          <w:lang w:val="en-GB"/>
        </w:rPr>
        <w:t xml:space="preserve">included in the EU Asylum Procedures Directive in </w:t>
      </w:r>
      <w:r w:rsidR="00C01608" w:rsidRPr="00347524">
        <w:rPr>
          <w:rFonts w:cstheme="minorHAnsi"/>
          <w:lang w:val="en-GB"/>
        </w:rPr>
        <w:t>Article</w:t>
      </w:r>
      <w:r w:rsidRPr="00347524">
        <w:rPr>
          <w:rFonts w:cstheme="minorHAnsi"/>
          <w:lang w:val="en-GB"/>
        </w:rPr>
        <w:t xml:space="preserve"> 38, but that Norway was not bound by this directive. The concerns that had been raised by UNHCR </w:t>
      </w:r>
      <w:r w:rsidR="00223625" w:rsidRPr="00347524">
        <w:rPr>
          <w:rFonts w:cstheme="minorHAnsi"/>
          <w:lang w:val="en-GB"/>
        </w:rPr>
        <w:t>were</w:t>
      </w:r>
      <w:r w:rsidRPr="00347524">
        <w:rPr>
          <w:rFonts w:cstheme="minorHAnsi"/>
          <w:lang w:val="en-GB"/>
        </w:rPr>
        <w:t xml:space="preserve"> not mentioned in the evaluation, nor were they mentioned in the law proposition that was later sent to the </w:t>
      </w:r>
      <w:r w:rsidR="00C01608" w:rsidRPr="00347524">
        <w:rPr>
          <w:rFonts w:cstheme="minorHAnsi"/>
          <w:lang w:val="en-GB"/>
        </w:rPr>
        <w:t>P</w:t>
      </w:r>
      <w:r w:rsidRPr="00347524">
        <w:rPr>
          <w:rFonts w:cstheme="minorHAnsi"/>
          <w:lang w:val="en-GB"/>
        </w:rPr>
        <w:t>arliament</w:t>
      </w:r>
      <w:r w:rsidR="00223625" w:rsidRPr="00347524">
        <w:rPr>
          <w:rFonts w:cstheme="minorHAnsi"/>
          <w:lang w:val="en-GB"/>
        </w:rPr>
        <w:t>,</w:t>
      </w:r>
      <w:r w:rsidRPr="00347524">
        <w:rPr>
          <w:rFonts w:cstheme="minorHAnsi"/>
          <w:lang w:val="en-GB"/>
        </w:rPr>
        <w:t xml:space="preserve"> except from a brief referral to NOAS’ consultation response</w:t>
      </w:r>
      <w:r w:rsidR="00C01608" w:rsidRPr="00347524">
        <w:rPr>
          <w:rFonts w:cstheme="minorHAnsi"/>
          <w:lang w:val="en-GB"/>
        </w:rPr>
        <w:t xml:space="preserve">, which </w:t>
      </w:r>
      <w:r w:rsidRPr="00347524">
        <w:rPr>
          <w:rFonts w:cstheme="minorHAnsi"/>
          <w:lang w:val="en-GB"/>
        </w:rPr>
        <w:t>mentioned that UNHCR had criticised Norway of mixing the concepts of</w:t>
      </w:r>
      <w:r w:rsidR="00223625" w:rsidRPr="00347524">
        <w:rPr>
          <w:rFonts w:cstheme="minorHAnsi"/>
          <w:lang w:val="en-GB"/>
        </w:rPr>
        <w:t>,</w:t>
      </w:r>
      <w:r w:rsidRPr="00347524">
        <w:rPr>
          <w:rFonts w:cstheme="minorHAnsi"/>
          <w:lang w:val="en-GB"/>
        </w:rPr>
        <w:t xml:space="preserve"> “a safe third country” with “a safe country of origin”.</w:t>
      </w:r>
      <w:r w:rsidRPr="00347524">
        <w:rPr>
          <w:rStyle w:val="Fotnotereferanse"/>
          <w:rFonts w:cstheme="minorHAnsi"/>
          <w:lang w:val="en-GB"/>
        </w:rPr>
        <w:footnoteReference w:id="42"/>
      </w:r>
    </w:p>
    <w:p w:rsidR="009502AB" w:rsidRPr="00347524" w:rsidRDefault="009502AB" w:rsidP="003C49B8">
      <w:pPr>
        <w:spacing w:line="240" w:lineRule="auto"/>
        <w:rPr>
          <w:b/>
          <w:lang w:val="en-GB"/>
        </w:rPr>
      </w:pPr>
    </w:p>
    <w:p w:rsidR="000217AF" w:rsidRPr="00347524" w:rsidRDefault="000217AF">
      <w:pPr>
        <w:spacing w:after="200" w:line="276" w:lineRule="auto"/>
        <w:rPr>
          <w:b/>
          <w:lang w:val="en-GB"/>
        </w:rPr>
      </w:pPr>
      <w:r w:rsidRPr="00347524">
        <w:rPr>
          <w:b/>
          <w:lang w:val="en-GB"/>
        </w:rPr>
        <w:br w:type="page"/>
      </w:r>
    </w:p>
    <w:p w:rsidR="00FB0E79" w:rsidRPr="00347524" w:rsidRDefault="00FB0E79" w:rsidP="003C49B8">
      <w:pPr>
        <w:spacing w:line="240" w:lineRule="auto"/>
        <w:rPr>
          <w:b/>
          <w:lang w:val="en-GB"/>
        </w:rPr>
      </w:pPr>
      <w:r w:rsidRPr="00347524">
        <w:rPr>
          <w:b/>
          <w:lang w:val="en-GB"/>
        </w:rPr>
        <w:t>17 (b) Rights of persons facing expulsion or return to a country when they face a substantial risk of violation contemplated by articles 6 and 7</w:t>
      </w:r>
    </w:p>
    <w:p w:rsidR="006F4062" w:rsidRPr="00347524" w:rsidRDefault="00C01608" w:rsidP="003C49B8">
      <w:pPr>
        <w:spacing w:line="240" w:lineRule="auto"/>
        <w:rPr>
          <w:rFonts w:eastAsiaTheme="majorEastAsia" w:cstheme="majorBidi"/>
          <w:bCs/>
          <w:lang w:val="en-GB"/>
        </w:rPr>
      </w:pPr>
      <w:r w:rsidRPr="00347524">
        <w:rPr>
          <w:lang w:val="en-GB"/>
        </w:rPr>
        <w:t xml:space="preserve">In a few cases it became known that persons that Norway had </w:t>
      </w:r>
      <w:r w:rsidR="00FB0E79" w:rsidRPr="00347524">
        <w:rPr>
          <w:lang w:val="en-GB"/>
        </w:rPr>
        <w:t xml:space="preserve">declined to provide </w:t>
      </w:r>
      <w:r w:rsidR="00C14CE0" w:rsidRPr="00347524">
        <w:rPr>
          <w:lang w:val="en-GB"/>
        </w:rPr>
        <w:t>protection</w:t>
      </w:r>
      <w:r w:rsidRPr="00347524">
        <w:rPr>
          <w:lang w:val="en-GB"/>
        </w:rPr>
        <w:t xml:space="preserve"> had been tortured upon return</w:t>
      </w:r>
      <w:r w:rsidR="007F36E9" w:rsidRPr="00347524">
        <w:rPr>
          <w:lang w:val="en-GB"/>
        </w:rPr>
        <w:t xml:space="preserve"> to their country of origin</w:t>
      </w:r>
      <w:r w:rsidRPr="00347524">
        <w:rPr>
          <w:lang w:val="en-GB"/>
        </w:rPr>
        <w:t xml:space="preserve">. </w:t>
      </w:r>
      <w:r w:rsidR="006F4062" w:rsidRPr="00347524">
        <w:rPr>
          <w:rFonts w:eastAsiaTheme="majorEastAsia" w:cstheme="majorBidi"/>
          <w:bCs/>
          <w:lang w:val="en-GB"/>
        </w:rPr>
        <w:t xml:space="preserve">The cases presented below (and other similar cases) have led to a growing concern among human rights organisations and lawyers that Norway takes excessive risks in its rejections of asylum applications of persons coming from countries known </w:t>
      </w:r>
      <w:r w:rsidR="009A4ECB" w:rsidRPr="00347524">
        <w:rPr>
          <w:rFonts w:eastAsiaTheme="majorEastAsia" w:cstheme="majorBidi"/>
          <w:bCs/>
          <w:lang w:val="en-GB"/>
        </w:rPr>
        <w:t xml:space="preserve">to have </w:t>
      </w:r>
      <w:r w:rsidR="006F4062" w:rsidRPr="00347524">
        <w:rPr>
          <w:rFonts w:eastAsiaTheme="majorEastAsia" w:cstheme="majorBidi"/>
          <w:bCs/>
          <w:lang w:val="en-GB"/>
        </w:rPr>
        <w:t>a “</w:t>
      </w:r>
      <w:r w:rsidR="006F4062" w:rsidRPr="00347524">
        <w:rPr>
          <w:rFonts w:eastAsiaTheme="majorEastAsia" w:cstheme="majorBidi"/>
          <w:bCs/>
          <w:i/>
          <w:lang w:val="en-GB"/>
        </w:rPr>
        <w:t>c</w:t>
      </w:r>
      <w:r w:rsidR="006F4062" w:rsidRPr="00347524">
        <w:rPr>
          <w:i/>
          <w:shd w:val="clear" w:color="auto" w:fill="FFFFFF"/>
          <w:lang w:val="en-GB"/>
        </w:rPr>
        <w:t>onsistent pattern of gross, flagrant or mass violations of human rights</w:t>
      </w:r>
      <w:r w:rsidR="006F4062" w:rsidRPr="00347524">
        <w:rPr>
          <w:shd w:val="clear" w:color="auto" w:fill="FFFFFF"/>
          <w:lang w:val="en-GB"/>
        </w:rPr>
        <w:t>”</w:t>
      </w:r>
      <w:r w:rsidR="006F4062" w:rsidRPr="00347524">
        <w:rPr>
          <w:rFonts w:eastAsiaTheme="majorEastAsia" w:cstheme="majorBidi"/>
          <w:bCs/>
          <w:lang w:val="en-GB"/>
        </w:rPr>
        <w:t>.</w:t>
      </w:r>
    </w:p>
    <w:p w:rsidR="006F4062" w:rsidRPr="00347524" w:rsidRDefault="006F4062" w:rsidP="003C49B8">
      <w:pPr>
        <w:spacing w:line="240" w:lineRule="auto"/>
        <w:rPr>
          <w:lang w:val="en-GB"/>
        </w:rPr>
      </w:pPr>
      <w:r w:rsidRPr="00347524">
        <w:rPr>
          <w:lang w:val="en-GB"/>
        </w:rPr>
        <w:t xml:space="preserve">In line with these concerns, Lyon Administrative Tribunal decided in a Dublin case on </w:t>
      </w:r>
      <w:r w:rsidR="009A4ECB" w:rsidRPr="00347524">
        <w:rPr>
          <w:lang w:val="en-GB"/>
        </w:rPr>
        <w:t>the 3</w:t>
      </w:r>
      <w:r w:rsidR="009A4ECB" w:rsidRPr="00347524">
        <w:rPr>
          <w:vertAlign w:val="superscript"/>
          <w:lang w:val="en-GB"/>
        </w:rPr>
        <w:t>rd</w:t>
      </w:r>
      <w:r w:rsidR="009A4ECB" w:rsidRPr="00347524">
        <w:rPr>
          <w:lang w:val="en-GB"/>
        </w:rPr>
        <w:t xml:space="preserve"> of April 2017</w:t>
      </w:r>
      <w:r w:rsidRPr="00347524">
        <w:rPr>
          <w:lang w:val="en-GB"/>
        </w:rPr>
        <w:t xml:space="preserve"> that an afghan asylum applicant from </w:t>
      </w:r>
      <w:proofErr w:type="spellStart"/>
      <w:r w:rsidRPr="00347524">
        <w:rPr>
          <w:lang w:val="en-GB"/>
        </w:rPr>
        <w:t>Nangarhar</w:t>
      </w:r>
      <w:proofErr w:type="spellEnd"/>
      <w:r w:rsidRPr="00347524">
        <w:rPr>
          <w:lang w:val="en-GB"/>
        </w:rPr>
        <w:t xml:space="preserve"> in Afghanistan could not be returned to Norway since his application had been rejected by Norwegian authorities. According to the decision, the security situation in </w:t>
      </w:r>
      <w:proofErr w:type="spellStart"/>
      <w:r w:rsidRPr="00347524">
        <w:rPr>
          <w:lang w:val="en-GB"/>
        </w:rPr>
        <w:t>Nangarhar</w:t>
      </w:r>
      <w:proofErr w:type="spellEnd"/>
      <w:r w:rsidRPr="00347524">
        <w:rPr>
          <w:lang w:val="en-GB"/>
        </w:rPr>
        <w:t xml:space="preserve"> is critical and if the person had to return there was a high risk of persecution. Sending the person back to Norway would therefore represent a breach of the E</w:t>
      </w:r>
      <w:r w:rsidR="00903383" w:rsidRPr="00347524">
        <w:rPr>
          <w:lang w:val="en-GB"/>
        </w:rPr>
        <w:t>uropean Convention on Human Rights</w:t>
      </w:r>
      <w:r w:rsidRPr="00347524">
        <w:rPr>
          <w:lang w:val="en-GB"/>
        </w:rPr>
        <w:t xml:space="preserve"> Article 3 and the UN Convention against Torture.</w:t>
      </w:r>
    </w:p>
    <w:p w:rsidR="007F36E9" w:rsidRPr="00347524" w:rsidRDefault="007F36E9" w:rsidP="003C49B8">
      <w:pPr>
        <w:spacing w:line="240" w:lineRule="auto"/>
        <w:rPr>
          <w:rFonts w:cs="Times New Roman"/>
          <w:lang w:val="en-GB"/>
        </w:rPr>
      </w:pPr>
      <w:r w:rsidRPr="00347524">
        <w:rPr>
          <w:lang w:val="en-GB"/>
        </w:rPr>
        <w:t xml:space="preserve">One of the explanations of the </w:t>
      </w:r>
      <w:proofErr w:type="spellStart"/>
      <w:r w:rsidRPr="00347524">
        <w:rPr>
          <w:lang w:val="en-GB"/>
        </w:rPr>
        <w:t>refoulment</w:t>
      </w:r>
      <w:proofErr w:type="spellEnd"/>
      <w:r w:rsidRPr="00347524">
        <w:rPr>
          <w:lang w:val="en-GB"/>
        </w:rPr>
        <w:t xml:space="preserve"> cases might be the limited legal aid that is provided to asylum seekers. </w:t>
      </w:r>
      <w:r w:rsidRPr="00347524">
        <w:rPr>
          <w:rFonts w:cs="Times New Roman"/>
          <w:lang w:val="en-GB"/>
        </w:rPr>
        <w:t>In an ordinary asylum case the attorney is compensated by the state for five hours</w:t>
      </w:r>
      <w:r w:rsidR="004233D0" w:rsidRPr="00347524">
        <w:rPr>
          <w:rFonts w:cs="Times New Roman"/>
          <w:lang w:val="en-GB"/>
        </w:rPr>
        <w:t>, which</w:t>
      </w:r>
      <w:r w:rsidR="00FB0E79" w:rsidRPr="00347524">
        <w:rPr>
          <w:rFonts w:cs="Times New Roman"/>
          <w:lang w:val="en-GB"/>
        </w:rPr>
        <w:t xml:space="preserve"> in</w:t>
      </w:r>
      <w:r w:rsidR="004233D0" w:rsidRPr="00347524">
        <w:rPr>
          <w:rFonts w:cs="Times New Roman"/>
          <w:lang w:val="en-GB"/>
        </w:rPr>
        <w:t xml:space="preserve"> cases where there is a need for an interpreter</w:t>
      </w:r>
      <w:r w:rsidR="009A4ECB" w:rsidRPr="00347524">
        <w:rPr>
          <w:rFonts w:cs="Times New Roman"/>
          <w:lang w:val="en-GB"/>
        </w:rPr>
        <w:t>,</w:t>
      </w:r>
      <w:r w:rsidR="004233D0" w:rsidRPr="00347524">
        <w:rPr>
          <w:rFonts w:cs="Times New Roman"/>
          <w:lang w:val="en-GB"/>
        </w:rPr>
        <w:t xml:space="preserve"> is not </w:t>
      </w:r>
      <w:r w:rsidRPr="00347524">
        <w:rPr>
          <w:rFonts w:cs="Times New Roman"/>
          <w:lang w:val="en-GB"/>
        </w:rPr>
        <w:t>enough</w:t>
      </w:r>
      <w:r w:rsidR="004233D0" w:rsidRPr="00347524">
        <w:rPr>
          <w:rFonts w:cs="Times New Roman"/>
          <w:lang w:val="en-GB"/>
        </w:rPr>
        <w:t>.</w:t>
      </w:r>
    </w:p>
    <w:p w:rsidR="000D61BF" w:rsidRPr="00347524" w:rsidRDefault="00C01608" w:rsidP="003C49B8">
      <w:pPr>
        <w:spacing w:line="240" w:lineRule="auto"/>
        <w:rPr>
          <w:rFonts w:cstheme="minorHAnsi"/>
          <w:lang w:val="en-GB"/>
        </w:rPr>
      </w:pPr>
      <w:r w:rsidRPr="00347524">
        <w:rPr>
          <w:rFonts w:cstheme="minorHAnsi"/>
          <w:lang w:val="en-GB"/>
        </w:rPr>
        <w:t>A</w:t>
      </w:r>
      <w:r w:rsidR="000D61BF" w:rsidRPr="00347524">
        <w:rPr>
          <w:rFonts w:cstheme="minorHAnsi"/>
          <w:lang w:val="en-GB"/>
        </w:rPr>
        <w:t>ccording to Amnesty International, “</w:t>
      </w:r>
      <w:proofErr w:type="spellStart"/>
      <w:r w:rsidR="000D61BF" w:rsidRPr="00347524">
        <w:rPr>
          <w:rFonts w:cstheme="minorHAnsi"/>
          <w:lang w:val="en-GB"/>
        </w:rPr>
        <w:t>Hadi</w:t>
      </w:r>
      <w:proofErr w:type="spellEnd"/>
      <w:r w:rsidR="000D61BF" w:rsidRPr="00347524">
        <w:rPr>
          <w:rFonts w:cstheme="minorHAnsi"/>
          <w:lang w:val="en-GB"/>
        </w:rPr>
        <w:t>”</w:t>
      </w:r>
      <w:r w:rsidR="00253AA2" w:rsidRPr="00347524">
        <w:rPr>
          <w:rStyle w:val="Fotnotereferanse"/>
          <w:rFonts w:cstheme="minorHAnsi"/>
          <w:lang w:val="en-GB"/>
        </w:rPr>
        <w:footnoteReference w:id="43"/>
      </w:r>
      <w:r w:rsidR="000D61BF" w:rsidRPr="00347524">
        <w:rPr>
          <w:rFonts w:cstheme="minorHAnsi"/>
          <w:lang w:val="en-GB"/>
        </w:rPr>
        <w:t xml:space="preserve"> had been severely tortured </w:t>
      </w:r>
      <w:r w:rsidR="00253AA2" w:rsidRPr="00347524">
        <w:rPr>
          <w:rFonts w:cstheme="minorHAnsi"/>
          <w:lang w:val="en-GB"/>
        </w:rPr>
        <w:t xml:space="preserve">in Afghanistan </w:t>
      </w:r>
      <w:r w:rsidR="000D61BF" w:rsidRPr="00347524">
        <w:rPr>
          <w:rFonts w:cstheme="minorHAnsi"/>
          <w:lang w:val="en-GB"/>
        </w:rPr>
        <w:t xml:space="preserve">before fleeing to Norway with his wife and three children. Norwegian authorities rejected his asylum application, and he and his family were deported to Afghanistan in mid-2016. He soon disappeared and was later found dead. His wife is convinced that he was killed by those who had </w:t>
      </w:r>
      <w:r w:rsidRPr="00347524">
        <w:rPr>
          <w:rFonts w:cstheme="minorHAnsi"/>
          <w:lang w:val="en-GB"/>
        </w:rPr>
        <w:t>previously</w:t>
      </w:r>
      <w:r w:rsidR="000D61BF" w:rsidRPr="00347524">
        <w:rPr>
          <w:rFonts w:cstheme="minorHAnsi"/>
          <w:lang w:val="en-GB"/>
        </w:rPr>
        <w:t xml:space="preserve"> tortured him.</w:t>
      </w:r>
      <w:r w:rsidR="000D61BF" w:rsidRPr="00347524">
        <w:rPr>
          <w:rStyle w:val="Fotnotereferanse"/>
          <w:rFonts w:cstheme="minorHAnsi"/>
          <w:lang w:val="en-GB"/>
        </w:rPr>
        <w:footnoteReference w:id="44"/>
      </w:r>
    </w:p>
    <w:p w:rsidR="000D61BF" w:rsidRPr="00347524" w:rsidRDefault="00253AA2" w:rsidP="003C49B8">
      <w:pPr>
        <w:spacing w:line="240" w:lineRule="auto"/>
        <w:rPr>
          <w:lang w:val="en-GB"/>
        </w:rPr>
      </w:pPr>
      <w:r w:rsidRPr="00347524">
        <w:rPr>
          <w:lang w:val="en-GB"/>
        </w:rPr>
        <w:t>“</w:t>
      </w:r>
      <w:proofErr w:type="spellStart"/>
      <w:r w:rsidR="000D61BF" w:rsidRPr="00347524">
        <w:rPr>
          <w:lang w:val="en-GB"/>
        </w:rPr>
        <w:t>Qane</w:t>
      </w:r>
      <w:proofErr w:type="spellEnd"/>
      <w:r w:rsidRPr="00347524">
        <w:rPr>
          <w:lang w:val="en-GB"/>
        </w:rPr>
        <w:t>”</w:t>
      </w:r>
      <w:r w:rsidR="000D61BF" w:rsidRPr="00347524">
        <w:rPr>
          <w:lang w:val="en-GB"/>
        </w:rPr>
        <w:t>, an Iranian citizen, claimed that he had been tortured before fleeing to Norway.</w:t>
      </w:r>
      <w:r w:rsidR="000D61BF" w:rsidRPr="00347524">
        <w:rPr>
          <w:rStyle w:val="Fotnotereferanse"/>
          <w:lang w:val="en-GB"/>
        </w:rPr>
        <w:footnoteReference w:id="45"/>
      </w:r>
      <w:r w:rsidR="000D61BF" w:rsidRPr="00347524">
        <w:rPr>
          <w:lang w:val="en-GB"/>
        </w:rPr>
        <w:t xml:space="preserve"> Norwegian authorities rejected his asylum application and forcibly returned him to Iran in June 2014. Upon return he was severely tortured for 15 days. His father was asked to come to the prison to pick up his body and bury him secretly. He was told that </w:t>
      </w:r>
      <w:proofErr w:type="spellStart"/>
      <w:r w:rsidR="000D61BF" w:rsidRPr="00347524">
        <w:rPr>
          <w:lang w:val="en-GB"/>
        </w:rPr>
        <w:t>Qane</w:t>
      </w:r>
      <w:proofErr w:type="spellEnd"/>
      <w:r w:rsidR="000D61BF" w:rsidRPr="00347524">
        <w:rPr>
          <w:lang w:val="en-GB"/>
        </w:rPr>
        <w:t xml:space="preserve"> had died of </w:t>
      </w:r>
      <w:r w:rsidR="009A4ECB" w:rsidRPr="00347524">
        <w:rPr>
          <w:lang w:val="en-GB"/>
        </w:rPr>
        <w:t xml:space="preserve">a </w:t>
      </w:r>
      <w:r w:rsidR="000D61BF" w:rsidRPr="00347524">
        <w:rPr>
          <w:lang w:val="en-GB"/>
        </w:rPr>
        <w:t xml:space="preserve">heart attack. </w:t>
      </w:r>
    </w:p>
    <w:p w:rsidR="000D61BF" w:rsidRPr="00347524" w:rsidRDefault="009A4ECB" w:rsidP="003C49B8">
      <w:pPr>
        <w:spacing w:line="240" w:lineRule="auto"/>
        <w:rPr>
          <w:lang w:val="en-GB"/>
        </w:rPr>
      </w:pPr>
      <w:r w:rsidRPr="00347524">
        <w:rPr>
          <w:lang w:val="en-GB"/>
        </w:rPr>
        <w:t>However, t</w:t>
      </w:r>
      <w:r w:rsidR="000D61BF" w:rsidRPr="00347524">
        <w:rPr>
          <w:lang w:val="en-GB"/>
        </w:rPr>
        <w:t xml:space="preserve">he father noticed that </w:t>
      </w:r>
      <w:proofErr w:type="spellStart"/>
      <w:r w:rsidR="000D61BF" w:rsidRPr="00347524">
        <w:rPr>
          <w:lang w:val="en-GB"/>
        </w:rPr>
        <w:t>Qane</w:t>
      </w:r>
      <w:proofErr w:type="spellEnd"/>
      <w:r w:rsidR="00160D07" w:rsidRPr="00347524">
        <w:rPr>
          <w:lang w:val="en-GB"/>
        </w:rPr>
        <w:t xml:space="preserve"> was not dead </w:t>
      </w:r>
      <w:r w:rsidR="000D61BF" w:rsidRPr="00347524">
        <w:rPr>
          <w:lang w:val="en-GB"/>
        </w:rPr>
        <w:t xml:space="preserve">and called for an ambulance. He was in a coma for two months at the </w:t>
      </w:r>
      <w:r w:rsidR="00160D07" w:rsidRPr="00347524">
        <w:rPr>
          <w:lang w:val="en-GB"/>
        </w:rPr>
        <w:t>hospital and</w:t>
      </w:r>
      <w:r w:rsidR="000D61BF" w:rsidRPr="00347524">
        <w:rPr>
          <w:lang w:val="en-GB"/>
        </w:rPr>
        <w:t xml:space="preserve"> remained there for four more months. Four months later intelligence officers took him back to prison, where he was kept in solitary confinement for one year and three months, beaten up and threatened frequently.</w:t>
      </w:r>
    </w:p>
    <w:p w:rsidR="000D61BF" w:rsidRPr="00347524" w:rsidRDefault="000D61BF" w:rsidP="003C49B8">
      <w:pPr>
        <w:spacing w:line="240" w:lineRule="auto"/>
        <w:rPr>
          <w:lang w:val="en-GB"/>
        </w:rPr>
      </w:pPr>
      <w:proofErr w:type="spellStart"/>
      <w:r w:rsidRPr="00347524">
        <w:rPr>
          <w:lang w:val="en-GB"/>
        </w:rPr>
        <w:t>Qane’s</w:t>
      </w:r>
      <w:proofErr w:type="spellEnd"/>
      <w:r w:rsidRPr="00347524">
        <w:rPr>
          <w:lang w:val="en-GB"/>
        </w:rPr>
        <w:t xml:space="preserve"> father died when </w:t>
      </w:r>
      <w:proofErr w:type="spellStart"/>
      <w:r w:rsidRPr="00347524">
        <w:rPr>
          <w:lang w:val="en-GB"/>
        </w:rPr>
        <w:t>Qane</w:t>
      </w:r>
      <w:proofErr w:type="spellEnd"/>
      <w:r w:rsidRPr="00347524">
        <w:rPr>
          <w:lang w:val="en-GB"/>
        </w:rPr>
        <w:t xml:space="preserve"> was taken back to prison</w:t>
      </w:r>
      <w:r w:rsidR="006F4062" w:rsidRPr="00347524">
        <w:rPr>
          <w:lang w:val="en-GB"/>
        </w:rPr>
        <w:t xml:space="preserve">. </w:t>
      </w:r>
      <w:proofErr w:type="spellStart"/>
      <w:r w:rsidRPr="00347524">
        <w:rPr>
          <w:lang w:val="en-GB"/>
        </w:rPr>
        <w:t>Qane</w:t>
      </w:r>
      <w:proofErr w:type="spellEnd"/>
      <w:r w:rsidRPr="00347524">
        <w:rPr>
          <w:lang w:val="en-GB"/>
        </w:rPr>
        <w:t xml:space="preserve"> was able to attend the commemoration ceremony one year after his </w:t>
      </w:r>
      <w:r w:rsidR="006F4062" w:rsidRPr="00347524">
        <w:rPr>
          <w:lang w:val="en-GB"/>
        </w:rPr>
        <w:t xml:space="preserve">death. A </w:t>
      </w:r>
      <w:r w:rsidRPr="00347524">
        <w:rPr>
          <w:lang w:val="en-GB"/>
        </w:rPr>
        <w:t xml:space="preserve">cousin had paid prison guards for </w:t>
      </w:r>
      <w:r w:rsidR="006F4062" w:rsidRPr="00347524">
        <w:rPr>
          <w:lang w:val="en-GB"/>
        </w:rPr>
        <w:t>him</w:t>
      </w:r>
      <w:r w:rsidRPr="00347524">
        <w:rPr>
          <w:lang w:val="en-GB"/>
        </w:rPr>
        <w:t xml:space="preserve"> to </w:t>
      </w:r>
      <w:r w:rsidR="006F4062" w:rsidRPr="00347524">
        <w:rPr>
          <w:lang w:val="en-GB"/>
        </w:rPr>
        <w:t xml:space="preserve">be able to </w:t>
      </w:r>
      <w:r w:rsidRPr="00347524">
        <w:rPr>
          <w:lang w:val="en-GB"/>
        </w:rPr>
        <w:t>leave prison</w:t>
      </w:r>
      <w:r w:rsidR="006F4062" w:rsidRPr="00347524">
        <w:rPr>
          <w:lang w:val="en-GB"/>
        </w:rPr>
        <w:t xml:space="preserve"> and then</w:t>
      </w:r>
      <w:r w:rsidRPr="00347524">
        <w:rPr>
          <w:lang w:val="en-GB"/>
        </w:rPr>
        <w:t xml:space="preserve"> managed to get </w:t>
      </w:r>
      <w:r w:rsidR="006F4062" w:rsidRPr="00347524">
        <w:rPr>
          <w:lang w:val="en-GB"/>
        </w:rPr>
        <w:t>him</w:t>
      </w:r>
      <w:r w:rsidRPr="00347524">
        <w:rPr>
          <w:lang w:val="en-GB"/>
        </w:rPr>
        <w:t xml:space="preserve"> out of Iran and </w:t>
      </w:r>
      <w:r w:rsidR="000A77A6" w:rsidRPr="00347524">
        <w:rPr>
          <w:lang w:val="en-GB"/>
        </w:rPr>
        <w:t>in</w:t>
      </w:r>
      <w:r w:rsidRPr="00347524">
        <w:rPr>
          <w:lang w:val="en-GB"/>
        </w:rPr>
        <w:t xml:space="preserve">to Turkey on </w:t>
      </w:r>
      <w:r w:rsidR="000A77A6" w:rsidRPr="00347524">
        <w:rPr>
          <w:lang w:val="en-GB"/>
        </w:rPr>
        <w:t>the 14</w:t>
      </w:r>
      <w:r w:rsidR="000A77A6" w:rsidRPr="00347524">
        <w:rPr>
          <w:vertAlign w:val="superscript"/>
          <w:lang w:val="en-GB"/>
        </w:rPr>
        <w:t>th</w:t>
      </w:r>
      <w:r w:rsidR="000A77A6" w:rsidRPr="00347524">
        <w:rPr>
          <w:lang w:val="en-GB"/>
        </w:rPr>
        <w:t xml:space="preserve"> of August 2017</w:t>
      </w:r>
      <w:r w:rsidRPr="00347524">
        <w:rPr>
          <w:lang w:val="en-GB"/>
        </w:rPr>
        <w:t>.</w:t>
      </w:r>
    </w:p>
    <w:p w:rsidR="002F701B" w:rsidRPr="00347524" w:rsidRDefault="000D61BF" w:rsidP="003C49B8">
      <w:pPr>
        <w:spacing w:line="240" w:lineRule="auto"/>
        <w:rPr>
          <w:lang w:val="en-GB"/>
        </w:rPr>
      </w:pPr>
      <w:proofErr w:type="spellStart"/>
      <w:r w:rsidRPr="00347524">
        <w:rPr>
          <w:lang w:val="en-GB"/>
        </w:rPr>
        <w:t>Qane</w:t>
      </w:r>
      <w:proofErr w:type="spellEnd"/>
      <w:r w:rsidRPr="00347524">
        <w:rPr>
          <w:lang w:val="en-GB"/>
        </w:rPr>
        <w:t xml:space="preserve"> has serious injuries from the torture. He has received refugee status by the UNHCR; staying at UNHCR’s hotel in Ankara awaiting an answer from the Norwegian Immigration Appeal Board (UNE) on his application to revoke the previous rejection of his application for asylum.</w:t>
      </w:r>
    </w:p>
    <w:p w:rsidR="002F701B" w:rsidRPr="00347524" w:rsidRDefault="0045055E" w:rsidP="003C49B8">
      <w:pPr>
        <w:spacing w:line="240" w:lineRule="auto"/>
        <w:rPr>
          <w:lang w:val="en-GB"/>
        </w:rPr>
      </w:pPr>
      <w:r w:rsidRPr="00347524">
        <w:rPr>
          <w:lang w:val="en-GB"/>
        </w:rPr>
        <w:t xml:space="preserve">In a letter </w:t>
      </w:r>
      <w:r w:rsidR="000A77A6" w:rsidRPr="00347524">
        <w:rPr>
          <w:lang w:val="en-GB"/>
        </w:rPr>
        <w:t>dated the 1</w:t>
      </w:r>
      <w:r w:rsidR="000A77A6" w:rsidRPr="00347524">
        <w:rPr>
          <w:vertAlign w:val="superscript"/>
          <w:lang w:val="en-GB"/>
        </w:rPr>
        <w:t>st</w:t>
      </w:r>
      <w:r w:rsidR="000A77A6" w:rsidRPr="00347524">
        <w:rPr>
          <w:lang w:val="en-GB"/>
        </w:rPr>
        <w:t xml:space="preserve"> of July 2015 to Norway’s</w:t>
      </w:r>
      <w:r w:rsidRPr="00347524">
        <w:rPr>
          <w:lang w:val="en-GB"/>
        </w:rPr>
        <w:t xml:space="preserve"> then Minister of Foreign Affairs, </w:t>
      </w:r>
      <w:proofErr w:type="spellStart"/>
      <w:r w:rsidRPr="00347524">
        <w:rPr>
          <w:lang w:val="en-GB"/>
        </w:rPr>
        <w:t>Børge</w:t>
      </w:r>
      <w:proofErr w:type="spellEnd"/>
      <w:r w:rsidRPr="00347524">
        <w:rPr>
          <w:lang w:val="en-GB"/>
        </w:rPr>
        <w:t xml:space="preserve"> </w:t>
      </w:r>
      <w:proofErr w:type="spellStart"/>
      <w:r w:rsidRPr="00347524">
        <w:rPr>
          <w:lang w:val="en-GB"/>
        </w:rPr>
        <w:t>Brende</w:t>
      </w:r>
      <w:proofErr w:type="spellEnd"/>
      <w:r w:rsidRPr="00347524">
        <w:rPr>
          <w:lang w:val="en-GB"/>
        </w:rPr>
        <w:t>, the Norwegian Helsinki Committee, described the fate of six Uzbek asylum seekers that had been returned from Norway to Uzbekistan in December 2014. Upon return, they had been arrested, tortured and found guilty of anti-constitutional activities. They were convicted to 12-13 years’ imprisonment.</w:t>
      </w:r>
    </w:p>
    <w:p w:rsidR="0045055E" w:rsidRPr="00347524" w:rsidRDefault="0045055E" w:rsidP="003C49B8">
      <w:pPr>
        <w:spacing w:line="240" w:lineRule="auto"/>
        <w:rPr>
          <w:lang w:val="en-GB"/>
        </w:rPr>
      </w:pPr>
      <w:r w:rsidRPr="00347524">
        <w:rPr>
          <w:lang w:val="en-GB"/>
        </w:rPr>
        <w:t>The six Uzbeks were returned from Norway to Uzbekistan despite strong warnings from their Norwegian lawyer.</w:t>
      </w:r>
      <w:r w:rsidRPr="00347524">
        <w:rPr>
          <w:rStyle w:val="Fotnotereferanse"/>
          <w:lang w:val="en-GB"/>
        </w:rPr>
        <w:footnoteReference w:id="46"/>
      </w:r>
      <w:r w:rsidRPr="00347524">
        <w:rPr>
          <w:lang w:val="en-GB"/>
        </w:rPr>
        <w:t xml:space="preserve"> In the letter to Norway’s Foreign Minister, </w:t>
      </w:r>
      <w:r w:rsidR="00903383" w:rsidRPr="00347524">
        <w:rPr>
          <w:lang w:val="en-GB"/>
        </w:rPr>
        <w:t xml:space="preserve">the Norwegian Helsinki Committee </w:t>
      </w:r>
      <w:r w:rsidRPr="00347524">
        <w:rPr>
          <w:lang w:val="en-GB"/>
        </w:rPr>
        <w:t>argued that since the Uzbeks may have been returned to Uzbekistan in breach of Norway’s international obligations, Norway had a responsibility to follow-up on their situation.</w:t>
      </w:r>
    </w:p>
    <w:p w:rsidR="006F4062" w:rsidRPr="00347524" w:rsidRDefault="0045055E" w:rsidP="003C49B8">
      <w:pPr>
        <w:spacing w:line="240" w:lineRule="auto"/>
        <w:rPr>
          <w:lang w:val="en-GB"/>
        </w:rPr>
      </w:pPr>
      <w:r w:rsidRPr="00347524">
        <w:rPr>
          <w:lang w:val="en-GB"/>
        </w:rPr>
        <w:t xml:space="preserve">In a response letter (of 30 September 2015), </w:t>
      </w:r>
      <w:r w:rsidR="00160D07" w:rsidRPr="00347524">
        <w:rPr>
          <w:lang w:val="en-GB"/>
        </w:rPr>
        <w:t>t</w:t>
      </w:r>
      <w:r w:rsidRPr="00347524">
        <w:rPr>
          <w:lang w:val="en-GB"/>
        </w:rPr>
        <w:t>he Minist</w:t>
      </w:r>
      <w:r w:rsidR="006F4062" w:rsidRPr="00347524">
        <w:rPr>
          <w:lang w:val="en-GB"/>
        </w:rPr>
        <w:t>er</w:t>
      </w:r>
      <w:r w:rsidRPr="00347524">
        <w:rPr>
          <w:lang w:val="en-GB"/>
        </w:rPr>
        <w:t xml:space="preserve"> noted that competent Norwegian authorities had conducted their own investigations</w:t>
      </w:r>
      <w:r w:rsidR="006F4062" w:rsidRPr="00347524">
        <w:rPr>
          <w:lang w:val="en-GB"/>
        </w:rPr>
        <w:t>, which</w:t>
      </w:r>
      <w:r w:rsidRPr="00347524">
        <w:rPr>
          <w:lang w:val="en-GB"/>
        </w:rPr>
        <w:t xml:space="preserve"> led to the conclusion that the Uzbeks indeed had been arrested and were given long prison sentences. In general terms, the Ministry letter outlined how Norway</w:t>
      </w:r>
      <w:r w:rsidR="000A77A6" w:rsidRPr="00347524">
        <w:rPr>
          <w:lang w:val="en-GB"/>
        </w:rPr>
        <w:t xml:space="preserve">, </w:t>
      </w:r>
      <w:r w:rsidRPr="00347524">
        <w:rPr>
          <w:lang w:val="en-GB"/>
        </w:rPr>
        <w:t>together with other countries</w:t>
      </w:r>
      <w:r w:rsidR="000A77A6" w:rsidRPr="00347524">
        <w:rPr>
          <w:lang w:val="en-GB"/>
        </w:rPr>
        <w:t>,</w:t>
      </w:r>
      <w:r w:rsidRPr="00347524">
        <w:rPr>
          <w:lang w:val="en-GB"/>
        </w:rPr>
        <w:t xml:space="preserve"> “</w:t>
      </w:r>
      <w:r w:rsidR="000A77A6" w:rsidRPr="00347524">
        <w:rPr>
          <w:lang w:val="en-GB"/>
        </w:rPr>
        <w:t>continues</w:t>
      </w:r>
      <w:r w:rsidRPr="00347524">
        <w:rPr>
          <w:lang w:val="en-GB"/>
        </w:rPr>
        <w:t xml:space="preserve"> to put international pressure to try to achieve positive changes in the country [i.e. Uzbekistan].” </w:t>
      </w:r>
      <w:r w:rsidR="00160D07" w:rsidRPr="00347524">
        <w:rPr>
          <w:lang w:val="en-GB"/>
        </w:rPr>
        <w:t xml:space="preserve">There is, however, </w:t>
      </w:r>
      <w:r w:rsidRPr="00347524">
        <w:rPr>
          <w:lang w:val="en-GB"/>
        </w:rPr>
        <w:t xml:space="preserve">little detail </w:t>
      </w:r>
      <w:r w:rsidR="00160D07" w:rsidRPr="00347524">
        <w:rPr>
          <w:lang w:val="en-GB"/>
        </w:rPr>
        <w:t xml:space="preserve">in the letter </w:t>
      </w:r>
      <w:r w:rsidRPr="00347524">
        <w:rPr>
          <w:lang w:val="en-GB"/>
        </w:rPr>
        <w:t>on how similar cases of return to arrest and mistreatment will be avoided in the future, except for a general reference to each asylum case being subject to concrete and individual assessment.</w:t>
      </w:r>
      <w:r w:rsidR="00160D07" w:rsidRPr="00347524">
        <w:rPr>
          <w:rStyle w:val="Fotnotereferanse"/>
          <w:lang w:val="en-GB"/>
        </w:rPr>
        <w:footnoteReference w:id="47"/>
      </w:r>
      <w:r w:rsidR="006F4062" w:rsidRPr="00347524">
        <w:rPr>
          <w:lang w:val="en-GB"/>
        </w:rPr>
        <w:t xml:space="preserve"> </w:t>
      </w:r>
    </w:p>
    <w:p w:rsidR="0045055E" w:rsidRPr="00347524" w:rsidRDefault="006F4062" w:rsidP="003C49B8">
      <w:pPr>
        <w:spacing w:line="240" w:lineRule="auto"/>
        <w:rPr>
          <w:lang w:val="en-GB"/>
        </w:rPr>
      </w:pPr>
      <w:r w:rsidRPr="00347524">
        <w:rPr>
          <w:lang w:val="en-GB"/>
        </w:rPr>
        <w:t xml:space="preserve">On </w:t>
      </w:r>
      <w:r w:rsidR="000A77A6" w:rsidRPr="00347524">
        <w:rPr>
          <w:lang w:val="en-GB"/>
        </w:rPr>
        <w:t>the 19</w:t>
      </w:r>
      <w:r w:rsidR="000A77A6" w:rsidRPr="00347524">
        <w:rPr>
          <w:vertAlign w:val="superscript"/>
          <w:lang w:val="en-GB"/>
        </w:rPr>
        <w:t>th</w:t>
      </w:r>
      <w:r w:rsidR="000A77A6" w:rsidRPr="00347524">
        <w:rPr>
          <w:lang w:val="en-GB"/>
        </w:rPr>
        <w:t xml:space="preserve"> of December 2014</w:t>
      </w:r>
      <w:r w:rsidRPr="00347524">
        <w:rPr>
          <w:lang w:val="en-GB"/>
        </w:rPr>
        <w:t xml:space="preserve">, </w:t>
      </w:r>
      <w:r w:rsidR="005D1BC3" w:rsidRPr="00347524">
        <w:rPr>
          <w:lang w:val="en-GB"/>
        </w:rPr>
        <w:t>t</w:t>
      </w:r>
      <w:r w:rsidRPr="00347524">
        <w:rPr>
          <w:lang w:val="en-GB"/>
        </w:rPr>
        <w:t xml:space="preserve">he Immigration Appeals Board (UNE) suspended returns to Uzbekistan. </w:t>
      </w:r>
      <w:r w:rsidR="000A77A6" w:rsidRPr="00347524">
        <w:rPr>
          <w:lang w:val="en-GB"/>
        </w:rPr>
        <w:t>However, this suspension was</w:t>
      </w:r>
      <w:r w:rsidRPr="00347524">
        <w:rPr>
          <w:lang w:val="en-GB"/>
        </w:rPr>
        <w:t xml:space="preserve"> reversed </w:t>
      </w:r>
      <w:r w:rsidR="000A77A6" w:rsidRPr="00347524">
        <w:rPr>
          <w:lang w:val="en-GB"/>
        </w:rPr>
        <w:t>on the 9</w:t>
      </w:r>
      <w:r w:rsidR="000A77A6" w:rsidRPr="00347524">
        <w:rPr>
          <w:vertAlign w:val="superscript"/>
          <w:lang w:val="en-GB"/>
        </w:rPr>
        <w:t>th</w:t>
      </w:r>
      <w:r w:rsidR="000A77A6" w:rsidRPr="00347524">
        <w:rPr>
          <w:lang w:val="en-GB"/>
        </w:rPr>
        <w:t xml:space="preserve"> of July 2015.</w:t>
      </w:r>
    </w:p>
    <w:p w:rsidR="0045055E" w:rsidRPr="00347524" w:rsidRDefault="0045055E" w:rsidP="003C49B8">
      <w:pPr>
        <w:spacing w:line="240" w:lineRule="auto"/>
        <w:rPr>
          <w:lang w:val="en-GB"/>
        </w:rPr>
      </w:pPr>
      <w:r w:rsidRPr="00347524">
        <w:rPr>
          <w:lang w:val="en-GB"/>
        </w:rPr>
        <w:t>In similar cases, the N</w:t>
      </w:r>
      <w:r w:rsidR="00903383" w:rsidRPr="00347524">
        <w:rPr>
          <w:lang w:val="en-GB"/>
        </w:rPr>
        <w:t>orwegian Helsinki Committee</w:t>
      </w:r>
      <w:r w:rsidRPr="00347524">
        <w:rPr>
          <w:lang w:val="en-GB"/>
        </w:rPr>
        <w:t xml:space="preserve"> in December 2015 criticised Norway for returning two Chechens to the Russ</w:t>
      </w:r>
      <w:r w:rsidR="00903383" w:rsidRPr="00347524">
        <w:rPr>
          <w:lang w:val="en-GB"/>
        </w:rPr>
        <w:t>i</w:t>
      </w:r>
      <w:r w:rsidRPr="00347524">
        <w:rPr>
          <w:lang w:val="en-GB"/>
        </w:rPr>
        <w:t xml:space="preserve">an Federation, </w:t>
      </w:r>
      <w:proofErr w:type="spellStart"/>
      <w:r w:rsidRPr="00347524">
        <w:rPr>
          <w:lang w:val="en-GB"/>
        </w:rPr>
        <w:t>Apti</w:t>
      </w:r>
      <w:proofErr w:type="spellEnd"/>
      <w:r w:rsidRPr="00347524">
        <w:rPr>
          <w:lang w:val="en-GB"/>
        </w:rPr>
        <w:t xml:space="preserve"> </w:t>
      </w:r>
      <w:proofErr w:type="spellStart"/>
      <w:r w:rsidRPr="00347524">
        <w:rPr>
          <w:lang w:val="en-GB"/>
        </w:rPr>
        <w:t>Nazujev</w:t>
      </w:r>
      <w:proofErr w:type="spellEnd"/>
      <w:r w:rsidRPr="00347524">
        <w:rPr>
          <w:lang w:val="en-GB"/>
        </w:rPr>
        <w:t xml:space="preserve"> and Umar </w:t>
      </w:r>
      <w:proofErr w:type="spellStart"/>
      <w:r w:rsidRPr="00347524">
        <w:rPr>
          <w:lang w:val="en-GB"/>
        </w:rPr>
        <w:t>Bilemkhanov</w:t>
      </w:r>
      <w:proofErr w:type="spellEnd"/>
      <w:r w:rsidRPr="00347524">
        <w:rPr>
          <w:lang w:val="en-GB"/>
        </w:rPr>
        <w:t xml:space="preserve">. </w:t>
      </w:r>
      <w:r w:rsidR="00903383" w:rsidRPr="00347524">
        <w:rPr>
          <w:lang w:val="en-GB"/>
        </w:rPr>
        <w:t>The Norwegian Helsinki Committee</w:t>
      </w:r>
      <w:r w:rsidRPr="00347524">
        <w:rPr>
          <w:lang w:val="en-GB"/>
        </w:rPr>
        <w:t xml:space="preserve"> claimed that both men had been subjected to torture and killed upon return. In media debate about the cases, UNE maintained that it was not convinced about the connection between the return from Norway and the abuses the two persons eventually endured in Russia.</w:t>
      </w:r>
      <w:r w:rsidRPr="00347524">
        <w:rPr>
          <w:rStyle w:val="Fotnotereferanse"/>
          <w:lang w:val="en-GB"/>
        </w:rPr>
        <w:footnoteReference w:id="48"/>
      </w:r>
    </w:p>
    <w:p w:rsidR="00FB0E79" w:rsidRPr="00347524" w:rsidRDefault="006F4062" w:rsidP="003C49B8">
      <w:pPr>
        <w:spacing w:line="240" w:lineRule="auto"/>
        <w:rPr>
          <w:lang w:val="en-GB"/>
        </w:rPr>
      </w:pPr>
      <w:r w:rsidRPr="00347524">
        <w:rPr>
          <w:lang w:val="en-GB"/>
        </w:rPr>
        <w:t>In a well-known case, a</w:t>
      </w:r>
      <w:r w:rsidR="0045055E" w:rsidRPr="00347524">
        <w:rPr>
          <w:lang w:val="en-GB"/>
        </w:rPr>
        <w:t xml:space="preserve">n Iranian woman, Leyla </w:t>
      </w:r>
      <w:proofErr w:type="spellStart"/>
      <w:r w:rsidR="0045055E" w:rsidRPr="00347524">
        <w:rPr>
          <w:lang w:val="en-GB"/>
        </w:rPr>
        <w:t>Baylat</w:t>
      </w:r>
      <w:proofErr w:type="spellEnd"/>
      <w:r w:rsidR="0045055E" w:rsidRPr="00347524">
        <w:rPr>
          <w:lang w:val="en-GB"/>
        </w:rPr>
        <w:t xml:space="preserve">, told Norwegian immigration authorities that she had been sentenced to 80 lashes in Iran. She presented the </w:t>
      </w:r>
      <w:r w:rsidR="000A77A6" w:rsidRPr="00347524">
        <w:rPr>
          <w:lang w:val="en-GB"/>
        </w:rPr>
        <w:t>judgment which</w:t>
      </w:r>
      <w:r w:rsidR="0045055E" w:rsidRPr="00347524">
        <w:rPr>
          <w:lang w:val="en-GB"/>
        </w:rPr>
        <w:t xml:space="preserve"> detailed the sentence to Norwegian authorities. She was, however, returned to Iran because the authorities did not believe her. Based on verification from sources in Iran</w:t>
      </w:r>
      <w:r w:rsidR="000A77A6" w:rsidRPr="00347524">
        <w:rPr>
          <w:lang w:val="en-GB"/>
        </w:rPr>
        <w:t>,</w:t>
      </w:r>
      <w:r w:rsidR="0045055E" w:rsidRPr="00347524">
        <w:rPr>
          <w:lang w:val="en-GB"/>
        </w:rPr>
        <w:t xml:space="preserve"> they held that the judgment was not authentic. Upon return in September 2017 she was lashed 80 times.</w:t>
      </w:r>
      <w:r w:rsidR="0045055E" w:rsidRPr="00347524">
        <w:rPr>
          <w:rStyle w:val="Fotnotereferanse"/>
          <w:lang w:val="en-GB"/>
        </w:rPr>
        <w:footnoteReference w:id="49"/>
      </w:r>
    </w:p>
    <w:p w:rsidR="00FB0E79" w:rsidRPr="00347524" w:rsidRDefault="00FB0E79" w:rsidP="003C49B8">
      <w:pPr>
        <w:spacing w:line="240" w:lineRule="auto"/>
        <w:rPr>
          <w:rFonts w:cs="Times New Roman"/>
          <w:b/>
          <w:lang w:val="en-GB"/>
        </w:rPr>
      </w:pPr>
    </w:p>
    <w:p w:rsidR="004233D0" w:rsidRPr="00347524" w:rsidRDefault="004233D0" w:rsidP="003C49B8">
      <w:pPr>
        <w:spacing w:line="240" w:lineRule="auto"/>
        <w:rPr>
          <w:lang w:val="en-GB"/>
        </w:rPr>
      </w:pPr>
      <w:r w:rsidRPr="00347524">
        <w:rPr>
          <w:rFonts w:cs="Times New Roman"/>
          <w:b/>
          <w:lang w:val="en-GB"/>
        </w:rPr>
        <w:t>17</w:t>
      </w:r>
      <w:r w:rsidR="00FB0E79" w:rsidRPr="00347524">
        <w:rPr>
          <w:rFonts w:cs="Times New Roman"/>
          <w:b/>
          <w:lang w:val="en-GB"/>
        </w:rPr>
        <w:t>(c)</w:t>
      </w:r>
      <w:r w:rsidRPr="00347524">
        <w:rPr>
          <w:rFonts w:cs="Times New Roman"/>
          <w:b/>
          <w:lang w:val="en-GB"/>
        </w:rPr>
        <w:t xml:space="preserve"> Grounds and procedures of expulsion</w:t>
      </w:r>
    </w:p>
    <w:p w:rsidR="004233D0" w:rsidRPr="00347524" w:rsidRDefault="00FB0E79" w:rsidP="003C49B8">
      <w:pPr>
        <w:spacing w:line="240" w:lineRule="auto"/>
        <w:rPr>
          <w:rFonts w:cs="Times New Roman"/>
          <w:lang w:val="en-GB"/>
        </w:rPr>
      </w:pPr>
      <w:r w:rsidRPr="00347524">
        <w:rPr>
          <w:rFonts w:cs="Times New Roman"/>
          <w:lang w:val="en-GB"/>
        </w:rPr>
        <w:t xml:space="preserve">Norway’s report </w:t>
      </w:r>
      <w:proofErr w:type="gramStart"/>
      <w:r w:rsidRPr="00347524">
        <w:rPr>
          <w:rFonts w:cs="Times New Roman"/>
          <w:lang w:val="en-GB"/>
        </w:rPr>
        <w:t xml:space="preserve">states that </w:t>
      </w:r>
      <w:r w:rsidR="004233D0" w:rsidRPr="00347524">
        <w:rPr>
          <w:rFonts w:cs="Times New Roman"/>
          <w:lang w:val="en-GB"/>
        </w:rPr>
        <w:t xml:space="preserve">free legal aid is given </w:t>
      </w:r>
      <w:r w:rsidR="000A77A6" w:rsidRPr="00347524">
        <w:rPr>
          <w:rFonts w:cs="Times New Roman"/>
          <w:lang w:val="en-GB"/>
        </w:rPr>
        <w:t>in</w:t>
      </w:r>
      <w:r w:rsidR="004233D0" w:rsidRPr="00347524">
        <w:rPr>
          <w:rFonts w:cs="Times New Roman"/>
          <w:lang w:val="en-GB"/>
        </w:rPr>
        <w:t xml:space="preserve"> </w:t>
      </w:r>
      <w:r w:rsidRPr="00347524">
        <w:rPr>
          <w:rFonts w:cs="Times New Roman"/>
          <w:lang w:val="en-GB"/>
        </w:rPr>
        <w:t>“</w:t>
      </w:r>
      <w:r w:rsidR="004233D0" w:rsidRPr="00347524">
        <w:rPr>
          <w:rFonts w:cs="Times New Roman"/>
          <w:lang w:val="en-GB"/>
        </w:rPr>
        <w:t>many cases”</w:t>
      </w:r>
      <w:r w:rsidRPr="00347524">
        <w:rPr>
          <w:rFonts w:cs="Times New Roman"/>
          <w:lang w:val="en-GB"/>
        </w:rPr>
        <w:t xml:space="preserve"> before a decision on expulsion is</w:t>
      </w:r>
      <w:proofErr w:type="gramEnd"/>
      <w:r w:rsidRPr="00347524">
        <w:rPr>
          <w:rFonts w:cs="Times New Roman"/>
          <w:lang w:val="en-GB"/>
        </w:rPr>
        <w:t xml:space="preserve"> made.</w:t>
      </w:r>
      <w:r w:rsidR="004233D0" w:rsidRPr="00347524">
        <w:rPr>
          <w:rStyle w:val="Fotnotereferanse"/>
          <w:rFonts w:cs="Times New Roman"/>
          <w:lang w:val="en-GB"/>
        </w:rPr>
        <w:footnoteReference w:id="50"/>
      </w:r>
      <w:r w:rsidR="004233D0" w:rsidRPr="00347524">
        <w:rPr>
          <w:rFonts w:cs="Times New Roman"/>
          <w:lang w:val="en-GB"/>
        </w:rPr>
        <w:t xml:space="preserve"> Free legal aid is</w:t>
      </w:r>
      <w:r w:rsidR="003F2C7C" w:rsidRPr="00347524">
        <w:rPr>
          <w:rFonts w:cs="Times New Roman"/>
          <w:lang w:val="en-GB"/>
        </w:rPr>
        <w:t>, however,</w:t>
      </w:r>
      <w:r w:rsidR="004233D0" w:rsidRPr="00347524">
        <w:rPr>
          <w:rFonts w:cs="Times New Roman"/>
          <w:lang w:val="en-GB"/>
        </w:rPr>
        <w:t xml:space="preserve"> not </w:t>
      </w:r>
      <w:r w:rsidR="003F2C7C" w:rsidRPr="00347524">
        <w:rPr>
          <w:rFonts w:cs="Times New Roman"/>
          <w:lang w:val="en-GB"/>
        </w:rPr>
        <w:t>provided</w:t>
      </w:r>
      <w:r w:rsidR="004233D0" w:rsidRPr="00347524">
        <w:rPr>
          <w:rFonts w:cs="Times New Roman"/>
          <w:lang w:val="en-GB"/>
        </w:rPr>
        <w:t xml:space="preserve"> in expulsion cases </w:t>
      </w:r>
      <w:r w:rsidR="003F2C7C" w:rsidRPr="00347524">
        <w:rPr>
          <w:rFonts w:cs="Times New Roman"/>
          <w:lang w:val="en-GB"/>
        </w:rPr>
        <w:t>on the ground</w:t>
      </w:r>
      <w:r w:rsidR="00AF50B2" w:rsidRPr="00347524">
        <w:rPr>
          <w:rFonts w:cs="Times New Roman"/>
          <w:lang w:val="en-GB"/>
        </w:rPr>
        <w:t>s</w:t>
      </w:r>
      <w:r w:rsidR="003F2C7C" w:rsidRPr="00347524">
        <w:rPr>
          <w:rFonts w:cs="Times New Roman"/>
          <w:lang w:val="en-GB"/>
        </w:rPr>
        <w:t xml:space="preserve"> of</w:t>
      </w:r>
      <w:r w:rsidR="004233D0" w:rsidRPr="00347524">
        <w:rPr>
          <w:rFonts w:cs="Times New Roman"/>
          <w:lang w:val="en-GB"/>
        </w:rPr>
        <w:t xml:space="preserve"> breach of the Criminal Act or when the person concerned is an EEA</w:t>
      </w:r>
      <w:r w:rsidR="003F2C7C" w:rsidRPr="00347524">
        <w:rPr>
          <w:rFonts w:cs="Times New Roman"/>
          <w:lang w:val="en-GB"/>
        </w:rPr>
        <w:t xml:space="preserve"> </w:t>
      </w:r>
      <w:r w:rsidR="004233D0" w:rsidRPr="00347524">
        <w:rPr>
          <w:rFonts w:cs="Times New Roman"/>
          <w:lang w:val="en-GB"/>
        </w:rPr>
        <w:t>citizen</w:t>
      </w:r>
      <w:r w:rsidR="003F2C7C" w:rsidRPr="00347524">
        <w:rPr>
          <w:rFonts w:cs="Times New Roman"/>
          <w:lang w:val="en-GB"/>
        </w:rPr>
        <w:t>.</w:t>
      </w:r>
      <w:r w:rsidR="004233D0" w:rsidRPr="00347524">
        <w:rPr>
          <w:rStyle w:val="Fotnotereferanse"/>
          <w:rFonts w:cs="Times New Roman"/>
          <w:lang w:val="en-GB"/>
        </w:rPr>
        <w:footnoteReference w:id="51"/>
      </w:r>
      <w:r w:rsidR="004233D0" w:rsidRPr="00347524">
        <w:rPr>
          <w:rFonts w:cs="Times New Roman"/>
          <w:lang w:val="en-GB"/>
        </w:rPr>
        <w:t xml:space="preserve"> </w:t>
      </w:r>
      <w:r w:rsidR="003F2C7C" w:rsidRPr="00347524">
        <w:rPr>
          <w:rFonts w:cs="Times New Roman"/>
          <w:lang w:val="en-GB"/>
        </w:rPr>
        <w:t>In cases where</w:t>
      </w:r>
      <w:r w:rsidR="004233D0" w:rsidRPr="00347524">
        <w:rPr>
          <w:rFonts w:cs="Times New Roman"/>
          <w:lang w:val="en-GB"/>
        </w:rPr>
        <w:t xml:space="preserve"> free legal aid is provided, the state only covers three hours before </w:t>
      </w:r>
      <w:r w:rsidR="003F2C7C" w:rsidRPr="00347524">
        <w:rPr>
          <w:rFonts w:cs="Times New Roman"/>
          <w:lang w:val="en-GB"/>
        </w:rPr>
        <w:t>a first instance</w:t>
      </w:r>
      <w:r w:rsidR="004233D0" w:rsidRPr="00347524">
        <w:rPr>
          <w:rFonts w:cs="Times New Roman"/>
          <w:lang w:val="en-GB"/>
        </w:rPr>
        <w:t xml:space="preserve"> decision</w:t>
      </w:r>
      <w:r w:rsidR="00C61C09" w:rsidRPr="00347524">
        <w:rPr>
          <w:rFonts w:cs="Times New Roman"/>
          <w:lang w:val="en-GB"/>
        </w:rPr>
        <w:t xml:space="preserve"> </w:t>
      </w:r>
      <w:r w:rsidR="004233D0" w:rsidRPr="00347524">
        <w:rPr>
          <w:rFonts w:cs="Times New Roman"/>
          <w:lang w:val="en-GB"/>
        </w:rPr>
        <w:t>and one hour in the appeal process</w:t>
      </w:r>
      <w:r w:rsidR="003F2C7C" w:rsidRPr="00347524">
        <w:rPr>
          <w:rFonts w:cs="Times New Roman"/>
          <w:lang w:val="en-GB"/>
        </w:rPr>
        <w:t>.</w:t>
      </w:r>
      <w:r w:rsidR="004233D0" w:rsidRPr="00347524">
        <w:rPr>
          <w:rStyle w:val="Fotnotereferanse"/>
          <w:rFonts w:cs="Times New Roman"/>
          <w:lang w:val="en-GB"/>
        </w:rPr>
        <w:footnoteReference w:id="52"/>
      </w:r>
    </w:p>
    <w:p w:rsidR="004233D0" w:rsidRPr="00347524" w:rsidRDefault="003F2C7C" w:rsidP="003C49B8">
      <w:pPr>
        <w:spacing w:line="240" w:lineRule="auto"/>
        <w:rPr>
          <w:rFonts w:cs="Times New Roman"/>
          <w:lang w:val="en-GB"/>
        </w:rPr>
      </w:pPr>
      <w:r w:rsidRPr="00347524">
        <w:rPr>
          <w:rFonts w:cs="Times New Roman"/>
          <w:lang w:val="en-GB"/>
        </w:rPr>
        <w:t xml:space="preserve">The </w:t>
      </w:r>
      <w:r w:rsidR="00D14072" w:rsidRPr="00347524">
        <w:rPr>
          <w:rFonts w:cs="Times New Roman"/>
          <w:lang w:val="en-GB"/>
        </w:rPr>
        <w:t>Government</w:t>
      </w:r>
      <w:r w:rsidRPr="00347524">
        <w:rPr>
          <w:rFonts w:cs="Times New Roman"/>
          <w:lang w:val="en-GB"/>
        </w:rPr>
        <w:t xml:space="preserve"> has proposed to </w:t>
      </w:r>
      <w:r w:rsidR="00AF50B2" w:rsidRPr="00347524">
        <w:rPr>
          <w:rFonts w:cs="Times New Roman"/>
          <w:lang w:val="en-GB"/>
        </w:rPr>
        <w:t xml:space="preserve">cut the </w:t>
      </w:r>
      <w:r w:rsidR="00E47AE3" w:rsidRPr="00347524">
        <w:rPr>
          <w:rFonts w:cs="Times New Roman"/>
          <w:lang w:val="en-GB"/>
        </w:rPr>
        <w:t xml:space="preserve">notification procedure </w:t>
      </w:r>
      <w:r w:rsidR="000A77A6" w:rsidRPr="00347524">
        <w:rPr>
          <w:rFonts w:cs="Times New Roman"/>
          <w:lang w:val="en-GB"/>
        </w:rPr>
        <w:t>in cases where the</w:t>
      </w:r>
      <w:r w:rsidR="004233D0" w:rsidRPr="00347524">
        <w:rPr>
          <w:rFonts w:cs="Times New Roman"/>
          <w:lang w:val="en-GB"/>
        </w:rPr>
        <w:t xml:space="preserve"> reason for expulsion </w:t>
      </w:r>
      <w:r w:rsidR="00E47AE3" w:rsidRPr="00347524">
        <w:rPr>
          <w:rFonts w:cs="Times New Roman"/>
          <w:lang w:val="en-GB"/>
        </w:rPr>
        <w:t xml:space="preserve">is </w:t>
      </w:r>
      <w:r w:rsidR="000A77A6" w:rsidRPr="00347524">
        <w:rPr>
          <w:rFonts w:cs="Times New Roman"/>
          <w:lang w:val="en-GB"/>
        </w:rPr>
        <w:t xml:space="preserve">the </w:t>
      </w:r>
      <w:r w:rsidR="00E47AE3" w:rsidRPr="00347524">
        <w:rPr>
          <w:rFonts w:cs="Times New Roman"/>
          <w:lang w:val="en-GB"/>
        </w:rPr>
        <w:t>failure</w:t>
      </w:r>
      <w:r w:rsidR="004233D0" w:rsidRPr="00347524">
        <w:rPr>
          <w:rFonts w:cs="Times New Roman"/>
          <w:lang w:val="en-GB"/>
        </w:rPr>
        <w:t xml:space="preserve"> to leave the country within the deadline set </w:t>
      </w:r>
      <w:r w:rsidR="000A77A6" w:rsidRPr="00347524">
        <w:rPr>
          <w:rFonts w:cs="Times New Roman"/>
          <w:lang w:val="en-GB"/>
        </w:rPr>
        <w:t xml:space="preserve">out </w:t>
      </w:r>
      <w:r w:rsidR="004233D0" w:rsidRPr="00347524">
        <w:rPr>
          <w:rFonts w:cs="Times New Roman"/>
          <w:lang w:val="en-GB"/>
        </w:rPr>
        <w:t>in the asylum rejection decision</w:t>
      </w:r>
      <w:r w:rsidR="00E47AE3" w:rsidRPr="00347524">
        <w:rPr>
          <w:rFonts w:cs="Times New Roman"/>
          <w:lang w:val="en-GB"/>
        </w:rPr>
        <w:t xml:space="preserve">, reducing the </w:t>
      </w:r>
      <w:r w:rsidR="004233D0" w:rsidRPr="00347524">
        <w:rPr>
          <w:rFonts w:cs="Times New Roman"/>
          <w:lang w:val="en-GB"/>
        </w:rPr>
        <w:t>possibility for contradiction in the case.</w:t>
      </w:r>
      <w:r w:rsidR="00E47AE3" w:rsidRPr="00347524">
        <w:rPr>
          <w:rFonts w:cs="Times New Roman"/>
          <w:lang w:val="en-GB"/>
        </w:rPr>
        <w:t xml:space="preserve"> The </w:t>
      </w:r>
      <w:r w:rsidR="00D14072" w:rsidRPr="00347524">
        <w:rPr>
          <w:rFonts w:cs="Times New Roman"/>
          <w:lang w:val="en-GB"/>
        </w:rPr>
        <w:t>Government</w:t>
      </w:r>
      <w:r w:rsidR="00E47AE3" w:rsidRPr="00347524">
        <w:rPr>
          <w:rFonts w:cs="Times New Roman"/>
          <w:lang w:val="en-GB"/>
        </w:rPr>
        <w:t xml:space="preserve"> has also proposed to reduce free</w:t>
      </w:r>
      <w:r w:rsidR="004233D0" w:rsidRPr="00347524">
        <w:rPr>
          <w:rFonts w:cs="Times New Roman"/>
          <w:lang w:val="en-GB"/>
        </w:rPr>
        <w:t xml:space="preserve"> legal aid in expulsion cases from four to three hours</w:t>
      </w:r>
      <w:r w:rsidRPr="00347524">
        <w:rPr>
          <w:rFonts w:cs="Times New Roman"/>
          <w:lang w:val="en-GB"/>
        </w:rPr>
        <w:t>.</w:t>
      </w:r>
      <w:r w:rsidR="004233D0" w:rsidRPr="00347524">
        <w:rPr>
          <w:rStyle w:val="Fotnotereferanse"/>
          <w:rFonts w:cs="Times New Roman"/>
          <w:lang w:val="en-GB"/>
        </w:rPr>
        <w:footnoteReference w:id="53"/>
      </w:r>
    </w:p>
    <w:p w:rsidR="00E47AE3" w:rsidRPr="00347524" w:rsidRDefault="00AF50B2" w:rsidP="003C49B8">
      <w:pPr>
        <w:spacing w:line="240" w:lineRule="auto"/>
        <w:rPr>
          <w:rFonts w:cs="Times New Roman"/>
          <w:lang w:val="en-GB"/>
        </w:rPr>
      </w:pPr>
      <w:r w:rsidRPr="00347524">
        <w:rPr>
          <w:rFonts w:cs="Times New Roman"/>
          <w:lang w:val="en-GB"/>
        </w:rPr>
        <w:t>A further problem is that</w:t>
      </w:r>
      <w:r w:rsidR="004233D0" w:rsidRPr="00347524">
        <w:rPr>
          <w:rFonts w:cs="Times New Roman"/>
          <w:lang w:val="en-GB"/>
        </w:rPr>
        <w:t xml:space="preserve"> expulsion decision</w:t>
      </w:r>
      <w:r w:rsidR="00E47AE3" w:rsidRPr="00347524">
        <w:rPr>
          <w:rFonts w:cs="Times New Roman"/>
          <w:lang w:val="en-GB"/>
        </w:rPr>
        <w:t>s</w:t>
      </w:r>
      <w:r w:rsidR="004233D0" w:rsidRPr="00347524">
        <w:rPr>
          <w:rFonts w:cs="Times New Roman"/>
          <w:lang w:val="en-GB"/>
        </w:rPr>
        <w:t xml:space="preserve"> </w:t>
      </w:r>
      <w:r w:rsidR="00E47AE3" w:rsidRPr="00347524">
        <w:rPr>
          <w:rFonts w:cs="Times New Roman"/>
          <w:lang w:val="en-GB"/>
        </w:rPr>
        <w:t xml:space="preserve">are written </w:t>
      </w:r>
      <w:r w:rsidR="004233D0" w:rsidRPr="00347524">
        <w:rPr>
          <w:rFonts w:cs="Times New Roman"/>
          <w:lang w:val="en-GB"/>
        </w:rPr>
        <w:t>in Norwegian or English</w:t>
      </w:r>
      <w:r w:rsidR="00E47AE3" w:rsidRPr="00347524">
        <w:rPr>
          <w:rFonts w:cs="Times New Roman"/>
          <w:lang w:val="en-GB"/>
        </w:rPr>
        <w:t xml:space="preserve"> language only. </w:t>
      </w:r>
      <w:r w:rsidR="004233D0" w:rsidRPr="00347524">
        <w:rPr>
          <w:rFonts w:cs="Times New Roman"/>
          <w:lang w:val="en-GB"/>
        </w:rPr>
        <w:t xml:space="preserve">English is sometimes used even if the person concerned does not master the language </w:t>
      </w:r>
      <w:r w:rsidR="00E47AE3" w:rsidRPr="00347524">
        <w:rPr>
          <w:rFonts w:cs="Times New Roman"/>
          <w:lang w:val="en-GB"/>
        </w:rPr>
        <w:t xml:space="preserve">sufficiently </w:t>
      </w:r>
      <w:r w:rsidR="000A77A6" w:rsidRPr="00347524">
        <w:rPr>
          <w:rFonts w:cs="Times New Roman"/>
          <w:lang w:val="en-GB"/>
        </w:rPr>
        <w:t xml:space="preserve">enough </w:t>
      </w:r>
      <w:r w:rsidR="00E47AE3" w:rsidRPr="00347524">
        <w:rPr>
          <w:rFonts w:cs="Times New Roman"/>
          <w:lang w:val="en-GB"/>
        </w:rPr>
        <w:t>to understand</w:t>
      </w:r>
      <w:r w:rsidR="004233D0" w:rsidRPr="00347524">
        <w:rPr>
          <w:rFonts w:cs="Times New Roman"/>
          <w:lang w:val="en-GB"/>
        </w:rPr>
        <w:t xml:space="preserve"> the reasoning </w:t>
      </w:r>
      <w:r w:rsidR="00E47AE3" w:rsidRPr="00347524">
        <w:rPr>
          <w:rFonts w:cs="Times New Roman"/>
          <w:lang w:val="en-GB"/>
        </w:rPr>
        <w:t>of</w:t>
      </w:r>
      <w:r w:rsidR="004233D0" w:rsidRPr="00347524">
        <w:rPr>
          <w:rFonts w:cs="Times New Roman"/>
          <w:lang w:val="en-GB"/>
        </w:rPr>
        <w:t xml:space="preserve"> the decision. </w:t>
      </w:r>
      <w:r w:rsidR="00E47AE3" w:rsidRPr="00347524">
        <w:rPr>
          <w:rFonts w:cs="Times New Roman"/>
          <w:lang w:val="en-GB"/>
        </w:rPr>
        <w:t>S</w:t>
      </w:r>
      <w:r w:rsidR="004233D0" w:rsidRPr="00347524">
        <w:rPr>
          <w:rFonts w:cs="Times New Roman"/>
          <w:lang w:val="en-GB"/>
        </w:rPr>
        <w:t xml:space="preserve">ometimes </w:t>
      </w:r>
      <w:r w:rsidR="00E47AE3" w:rsidRPr="00347524">
        <w:rPr>
          <w:rFonts w:cs="Times New Roman"/>
          <w:lang w:val="en-GB"/>
        </w:rPr>
        <w:t>a</w:t>
      </w:r>
      <w:r w:rsidR="004233D0" w:rsidRPr="00347524">
        <w:rPr>
          <w:rFonts w:cs="Times New Roman"/>
          <w:lang w:val="en-GB"/>
        </w:rPr>
        <w:t xml:space="preserve"> person </w:t>
      </w:r>
      <w:r w:rsidR="00E47AE3" w:rsidRPr="00347524">
        <w:rPr>
          <w:rFonts w:cs="Times New Roman"/>
          <w:lang w:val="en-GB"/>
        </w:rPr>
        <w:t>is</w:t>
      </w:r>
      <w:r w:rsidR="004233D0" w:rsidRPr="00347524">
        <w:rPr>
          <w:rFonts w:cs="Times New Roman"/>
          <w:lang w:val="en-GB"/>
        </w:rPr>
        <w:t xml:space="preserve"> expelled before </w:t>
      </w:r>
      <w:r w:rsidR="00E47AE3" w:rsidRPr="00347524">
        <w:rPr>
          <w:rFonts w:cs="Times New Roman"/>
          <w:lang w:val="en-GB"/>
        </w:rPr>
        <w:t>being informed about the</w:t>
      </w:r>
      <w:r w:rsidR="004233D0" w:rsidRPr="00347524">
        <w:rPr>
          <w:rFonts w:cs="Times New Roman"/>
          <w:lang w:val="en-GB"/>
        </w:rPr>
        <w:t xml:space="preserve"> decision because </w:t>
      </w:r>
      <w:r w:rsidR="00E47AE3" w:rsidRPr="00347524">
        <w:rPr>
          <w:rFonts w:cs="Times New Roman"/>
          <w:lang w:val="en-GB"/>
        </w:rPr>
        <w:t>he or she</w:t>
      </w:r>
      <w:r w:rsidR="004233D0" w:rsidRPr="00347524">
        <w:rPr>
          <w:rFonts w:cs="Times New Roman"/>
          <w:lang w:val="en-GB"/>
        </w:rPr>
        <w:t xml:space="preserve"> does not have a legal residency. </w:t>
      </w:r>
    </w:p>
    <w:p w:rsidR="005D1BC3" w:rsidRPr="00347524" w:rsidRDefault="00E47AE3" w:rsidP="003C49B8">
      <w:pPr>
        <w:spacing w:line="240" w:lineRule="auto"/>
        <w:rPr>
          <w:rFonts w:cs="Times New Roman"/>
          <w:lang w:val="en-GB"/>
        </w:rPr>
      </w:pPr>
      <w:r w:rsidRPr="00347524">
        <w:rPr>
          <w:rFonts w:cs="Times New Roman"/>
          <w:lang w:val="en-GB"/>
        </w:rPr>
        <w:t>Since</w:t>
      </w:r>
      <w:r w:rsidR="004233D0" w:rsidRPr="00347524">
        <w:rPr>
          <w:rFonts w:cs="Times New Roman"/>
          <w:lang w:val="en-GB"/>
        </w:rPr>
        <w:t xml:space="preserve"> expulsion decision</w:t>
      </w:r>
      <w:r w:rsidRPr="00347524">
        <w:rPr>
          <w:rFonts w:cs="Times New Roman"/>
          <w:lang w:val="en-GB"/>
        </w:rPr>
        <w:t>s</w:t>
      </w:r>
      <w:r w:rsidR="004233D0" w:rsidRPr="00347524">
        <w:rPr>
          <w:rFonts w:cs="Times New Roman"/>
          <w:lang w:val="en-GB"/>
        </w:rPr>
        <w:t xml:space="preserve"> also </w:t>
      </w:r>
      <w:r w:rsidRPr="00347524">
        <w:rPr>
          <w:rFonts w:cs="Times New Roman"/>
          <w:lang w:val="en-GB"/>
        </w:rPr>
        <w:t>informs</w:t>
      </w:r>
      <w:r w:rsidR="004233D0" w:rsidRPr="00347524">
        <w:rPr>
          <w:rFonts w:cs="Times New Roman"/>
          <w:lang w:val="en-GB"/>
        </w:rPr>
        <w:t xml:space="preserve"> about </w:t>
      </w:r>
      <w:r w:rsidRPr="00347524">
        <w:rPr>
          <w:rFonts w:cs="Times New Roman"/>
          <w:lang w:val="en-GB"/>
        </w:rPr>
        <w:t>the prohibition to re</w:t>
      </w:r>
      <w:r w:rsidR="0040216D" w:rsidRPr="00347524">
        <w:rPr>
          <w:rFonts w:cs="Times New Roman"/>
          <w:lang w:val="en-GB"/>
        </w:rPr>
        <w:t>-</w:t>
      </w:r>
      <w:r w:rsidRPr="00347524">
        <w:rPr>
          <w:rFonts w:cs="Times New Roman"/>
          <w:lang w:val="en-GB"/>
        </w:rPr>
        <w:t>enter Norway, the lack of translation into a language the expelled person understands</w:t>
      </w:r>
      <w:r w:rsidR="000A77A6" w:rsidRPr="00347524">
        <w:rPr>
          <w:rFonts w:cs="Times New Roman"/>
          <w:lang w:val="en-GB"/>
        </w:rPr>
        <w:t>,</w:t>
      </w:r>
      <w:r w:rsidRPr="00347524">
        <w:rPr>
          <w:rFonts w:cs="Times New Roman"/>
          <w:lang w:val="en-GB"/>
        </w:rPr>
        <w:t xml:space="preserve"> may result in breach of th</w:t>
      </w:r>
      <w:r w:rsidR="00AF50B2" w:rsidRPr="00347524">
        <w:rPr>
          <w:rFonts w:cs="Times New Roman"/>
          <w:lang w:val="en-GB"/>
        </w:rPr>
        <w:t>is</w:t>
      </w:r>
      <w:r w:rsidRPr="00347524">
        <w:rPr>
          <w:rFonts w:cs="Times New Roman"/>
          <w:lang w:val="en-GB"/>
        </w:rPr>
        <w:t xml:space="preserve"> prohibition</w:t>
      </w:r>
      <w:r w:rsidR="004233D0" w:rsidRPr="00347524">
        <w:rPr>
          <w:rFonts w:cs="Times New Roman"/>
          <w:lang w:val="en-GB"/>
        </w:rPr>
        <w:t xml:space="preserve">. In Jussbuss’ </w:t>
      </w:r>
      <w:r w:rsidRPr="00347524">
        <w:rPr>
          <w:rFonts w:cs="Times New Roman"/>
          <w:lang w:val="en-GB"/>
        </w:rPr>
        <w:t>experience</w:t>
      </w:r>
      <w:r w:rsidR="004233D0" w:rsidRPr="00347524">
        <w:rPr>
          <w:rFonts w:cs="Times New Roman"/>
          <w:lang w:val="en-GB"/>
        </w:rPr>
        <w:t>, violations of the re</w:t>
      </w:r>
      <w:r w:rsidR="0040216D" w:rsidRPr="00347524">
        <w:rPr>
          <w:rFonts w:cs="Times New Roman"/>
          <w:lang w:val="en-GB"/>
        </w:rPr>
        <w:t>-</w:t>
      </w:r>
      <w:r w:rsidR="004233D0" w:rsidRPr="00347524">
        <w:rPr>
          <w:rFonts w:cs="Times New Roman"/>
          <w:lang w:val="en-GB"/>
        </w:rPr>
        <w:t xml:space="preserve">entry prohibition </w:t>
      </w:r>
      <w:r w:rsidRPr="00347524">
        <w:rPr>
          <w:rFonts w:cs="Times New Roman"/>
          <w:lang w:val="en-GB"/>
        </w:rPr>
        <w:t>are</w:t>
      </w:r>
      <w:r w:rsidR="004233D0" w:rsidRPr="00347524">
        <w:rPr>
          <w:rFonts w:cs="Times New Roman"/>
          <w:lang w:val="en-GB"/>
        </w:rPr>
        <w:t xml:space="preserve"> often </w:t>
      </w:r>
      <w:r w:rsidRPr="00347524">
        <w:rPr>
          <w:rFonts w:cs="Times New Roman"/>
          <w:lang w:val="en-GB"/>
        </w:rPr>
        <w:t xml:space="preserve">caused by </w:t>
      </w:r>
      <w:r w:rsidR="00AF50B2" w:rsidRPr="00347524">
        <w:rPr>
          <w:rFonts w:cs="Times New Roman"/>
          <w:lang w:val="en-GB"/>
        </w:rPr>
        <w:t xml:space="preserve">the </w:t>
      </w:r>
      <w:r w:rsidR="004233D0" w:rsidRPr="00347524">
        <w:rPr>
          <w:rFonts w:cs="Times New Roman"/>
          <w:lang w:val="en-GB"/>
        </w:rPr>
        <w:t>person</w:t>
      </w:r>
      <w:r w:rsidR="00AF50B2" w:rsidRPr="00347524">
        <w:rPr>
          <w:rFonts w:cs="Times New Roman"/>
          <w:lang w:val="en-GB"/>
        </w:rPr>
        <w:t>s concerned</w:t>
      </w:r>
      <w:r w:rsidR="004233D0" w:rsidRPr="00347524">
        <w:rPr>
          <w:rFonts w:cs="Times New Roman"/>
          <w:lang w:val="en-GB"/>
        </w:rPr>
        <w:t xml:space="preserve"> not understand</w:t>
      </w:r>
      <w:r w:rsidRPr="00347524">
        <w:rPr>
          <w:rFonts w:cs="Times New Roman"/>
          <w:lang w:val="en-GB"/>
        </w:rPr>
        <w:t>ing</w:t>
      </w:r>
      <w:r w:rsidR="004233D0" w:rsidRPr="00347524">
        <w:rPr>
          <w:rFonts w:cs="Times New Roman"/>
          <w:lang w:val="en-GB"/>
        </w:rPr>
        <w:t xml:space="preserve"> that </w:t>
      </w:r>
      <w:r w:rsidR="00AF50B2" w:rsidRPr="00347524">
        <w:rPr>
          <w:rFonts w:cs="Times New Roman"/>
          <w:lang w:val="en-GB"/>
        </w:rPr>
        <w:t>they were</w:t>
      </w:r>
      <w:r w:rsidR="004233D0" w:rsidRPr="00347524">
        <w:rPr>
          <w:rFonts w:cs="Times New Roman"/>
          <w:lang w:val="en-GB"/>
        </w:rPr>
        <w:t xml:space="preserve"> given such a prohibition.</w:t>
      </w:r>
    </w:p>
    <w:p w:rsidR="0045055E" w:rsidRPr="00347524" w:rsidRDefault="0045055E" w:rsidP="003C49B8">
      <w:pPr>
        <w:widowControl w:val="0"/>
        <w:spacing w:line="240" w:lineRule="auto"/>
        <w:rPr>
          <w:rFonts w:cs="Arial"/>
          <w:lang w:val="en-GB"/>
        </w:rPr>
      </w:pPr>
      <w:r w:rsidRPr="00347524">
        <w:rPr>
          <w:rFonts w:cs="Arial"/>
          <w:b/>
          <w:lang w:val="en-GB"/>
        </w:rPr>
        <w:t>Recommendation</w:t>
      </w:r>
      <w:r w:rsidR="005D1BC3" w:rsidRPr="00347524">
        <w:rPr>
          <w:rFonts w:cs="Arial"/>
          <w:b/>
          <w:lang w:val="en-GB"/>
        </w:rPr>
        <w:t>s</w:t>
      </w:r>
      <w:r w:rsidRPr="00347524">
        <w:rPr>
          <w:rFonts w:cs="Arial"/>
          <w:lang w:val="en-GB"/>
        </w:rPr>
        <w:t>:</w:t>
      </w:r>
    </w:p>
    <w:p w:rsidR="005D1BC3" w:rsidRPr="00347524" w:rsidRDefault="00CA5A0B" w:rsidP="003C49B8">
      <w:pPr>
        <w:pStyle w:val="Listeavsnitt"/>
        <w:widowControl w:val="0"/>
        <w:numPr>
          <w:ilvl w:val="0"/>
          <w:numId w:val="30"/>
        </w:numPr>
        <w:spacing w:line="240" w:lineRule="auto"/>
        <w:rPr>
          <w:rFonts w:cs="Arial"/>
          <w:lang w:val="en-GB"/>
        </w:rPr>
      </w:pPr>
      <w:r w:rsidRPr="00347524">
        <w:rPr>
          <w:rFonts w:cs="Arial"/>
          <w:lang w:val="en-GB"/>
        </w:rPr>
        <w:t>Uphold fully i</w:t>
      </w:r>
      <w:r w:rsidR="0045055E" w:rsidRPr="00347524">
        <w:rPr>
          <w:rFonts w:cs="Arial"/>
          <w:lang w:val="en-GB"/>
        </w:rPr>
        <w:t>nternational</w:t>
      </w:r>
      <w:r w:rsidR="0045055E" w:rsidRPr="00347524">
        <w:rPr>
          <w:rFonts w:eastAsiaTheme="majorEastAsia" w:cstheme="majorBidi"/>
          <w:bCs/>
          <w:lang w:val="en-GB"/>
        </w:rPr>
        <w:t xml:space="preserve"> obligations to respect the right to seek asylum</w:t>
      </w:r>
      <w:r w:rsidR="005D1BC3" w:rsidRPr="00347524">
        <w:rPr>
          <w:rFonts w:eastAsiaTheme="majorEastAsia" w:cstheme="majorBidi"/>
          <w:bCs/>
          <w:lang w:val="en-GB"/>
        </w:rPr>
        <w:t>;</w:t>
      </w:r>
    </w:p>
    <w:p w:rsidR="0045055E" w:rsidRPr="00347524" w:rsidRDefault="00CA5A0B" w:rsidP="003C49B8">
      <w:pPr>
        <w:pStyle w:val="Listeavsnitt"/>
        <w:widowControl w:val="0"/>
        <w:numPr>
          <w:ilvl w:val="0"/>
          <w:numId w:val="30"/>
        </w:numPr>
        <w:spacing w:line="240" w:lineRule="auto"/>
        <w:rPr>
          <w:rFonts w:cs="Arial"/>
          <w:lang w:val="en-GB"/>
        </w:rPr>
      </w:pPr>
      <w:r w:rsidRPr="00347524">
        <w:rPr>
          <w:rFonts w:eastAsiaTheme="majorEastAsia" w:cstheme="majorBidi"/>
          <w:bCs/>
          <w:lang w:val="en-GB"/>
        </w:rPr>
        <w:t>Put in place stronger</w:t>
      </w:r>
      <w:r w:rsidR="0045055E" w:rsidRPr="00347524">
        <w:rPr>
          <w:rFonts w:eastAsiaTheme="majorEastAsia" w:cstheme="majorBidi"/>
          <w:bCs/>
          <w:lang w:val="en-GB"/>
        </w:rPr>
        <w:t xml:space="preserve"> safeguards to ensure that persons are not returned to torture</w:t>
      </w:r>
      <w:r w:rsidR="005D1BC3" w:rsidRPr="00347524">
        <w:rPr>
          <w:rFonts w:eastAsiaTheme="majorEastAsia" w:cstheme="majorBidi"/>
          <w:bCs/>
          <w:lang w:val="en-GB"/>
        </w:rPr>
        <w:t>;</w:t>
      </w:r>
    </w:p>
    <w:p w:rsidR="00AF50B2" w:rsidRPr="00347524" w:rsidRDefault="00CA5A0B" w:rsidP="003C49B8">
      <w:pPr>
        <w:pStyle w:val="Listeavsnitt"/>
        <w:widowControl w:val="0"/>
        <w:numPr>
          <w:ilvl w:val="0"/>
          <w:numId w:val="30"/>
        </w:numPr>
        <w:spacing w:line="240" w:lineRule="auto"/>
        <w:rPr>
          <w:rFonts w:cs="Arial"/>
          <w:lang w:val="en-GB"/>
        </w:rPr>
      </w:pPr>
      <w:r w:rsidRPr="00347524">
        <w:rPr>
          <w:rFonts w:eastAsiaTheme="majorEastAsia" w:cstheme="majorBidi"/>
          <w:bCs/>
          <w:lang w:val="en-GB"/>
        </w:rPr>
        <w:t>Establish a</w:t>
      </w:r>
      <w:r w:rsidR="0045055E" w:rsidRPr="00347524">
        <w:rPr>
          <w:rFonts w:eastAsiaTheme="majorEastAsia" w:cstheme="majorBidi"/>
          <w:bCs/>
          <w:lang w:val="en-GB"/>
        </w:rPr>
        <w:t xml:space="preserve"> follow-up procedure for persons that have been returned to torture</w:t>
      </w:r>
      <w:r w:rsidR="000B6578" w:rsidRPr="00347524">
        <w:rPr>
          <w:rFonts w:eastAsiaTheme="majorEastAsia" w:cstheme="majorBidi"/>
          <w:bCs/>
          <w:lang w:val="en-GB"/>
        </w:rPr>
        <w:t>,</w:t>
      </w:r>
      <w:r w:rsidR="0045055E" w:rsidRPr="00347524">
        <w:rPr>
          <w:rFonts w:eastAsiaTheme="majorEastAsia" w:cstheme="majorBidi"/>
          <w:bCs/>
          <w:lang w:val="en-GB"/>
        </w:rPr>
        <w:t xml:space="preserve"> to ensure that they are taken back</w:t>
      </w:r>
      <w:r w:rsidRPr="00347524">
        <w:rPr>
          <w:rFonts w:eastAsiaTheme="majorEastAsia" w:cstheme="majorBidi"/>
          <w:bCs/>
          <w:lang w:val="en-GB"/>
        </w:rPr>
        <w:t xml:space="preserve"> to Norway</w:t>
      </w:r>
      <w:r w:rsidR="00AF50B2" w:rsidRPr="00347524">
        <w:rPr>
          <w:rFonts w:eastAsiaTheme="majorEastAsia" w:cstheme="majorBidi"/>
          <w:bCs/>
          <w:lang w:val="en-GB"/>
        </w:rPr>
        <w:t>;</w:t>
      </w:r>
    </w:p>
    <w:p w:rsidR="00E95041" w:rsidRPr="00347524" w:rsidRDefault="00CA5A0B" w:rsidP="003C49B8">
      <w:pPr>
        <w:pStyle w:val="Listeavsnitt"/>
        <w:widowControl w:val="0"/>
        <w:numPr>
          <w:ilvl w:val="0"/>
          <w:numId w:val="30"/>
        </w:numPr>
        <w:shd w:val="clear" w:color="auto" w:fill="FFFFFF"/>
        <w:spacing w:line="240" w:lineRule="auto"/>
        <w:rPr>
          <w:rFonts w:cs="Times New Roman"/>
          <w:lang w:val="en-GB"/>
        </w:rPr>
      </w:pPr>
      <w:r w:rsidRPr="00347524">
        <w:rPr>
          <w:rFonts w:eastAsiaTheme="majorEastAsia" w:cstheme="majorBidi"/>
          <w:bCs/>
          <w:lang w:val="en-GB"/>
        </w:rPr>
        <w:t>Uphold f</w:t>
      </w:r>
      <w:r w:rsidR="00AF50B2" w:rsidRPr="00347524">
        <w:rPr>
          <w:rFonts w:eastAsiaTheme="majorEastAsia" w:cstheme="majorBidi"/>
          <w:bCs/>
          <w:lang w:val="en-GB"/>
        </w:rPr>
        <w:t>ree legal aid in expulsion cases on a sufficient level. Expulsion decisions should be explained to the person concerned in a language he or she understands.</w:t>
      </w:r>
    </w:p>
    <w:bookmarkEnd w:id="6"/>
    <w:p w:rsidR="00E95041" w:rsidRPr="00347524" w:rsidRDefault="00E95041" w:rsidP="003C49B8">
      <w:pPr>
        <w:pStyle w:val="HTML-forhndsformatert"/>
        <w:shd w:val="clear" w:color="auto" w:fill="FFFFFF"/>
        <w:rPr>
          <w:rFonts w:asciiTheme="minorHAnsi" w:hAnsiTheme="minorHAnsi" w:cs="Times New Roman"/>
          <w:sz w:val="22"/>
          <w:szCs w:val="22"/>
          <w:lang w:val="en-GB"/>
        </w:rPr>
      </w:pPr>
    </w:p>
    <w:p w:rsidR="00E95041" w:rsidRPr="00347524" w:rsidRDefault="00E95041" w:rsidP="003C49B8">
      <w:pPr>
        <w:pStyle w:val="HTML-forhndsformatert"/>
        <w:shd w:val="clear" w:color="auto" w:fill="FFFFFF"/>
        <w:rPr>
          <w:rFonts w:asciiTheme="minorHAnsi" w:hAnsiTheme="minorHAnsi" w:cs="Times New Roman"/>
          <w:sz w:val="22"/>
          <w:szCs w:val="22"/>
          <w:lang w:val="en-GB"/>
        </w:rPr>
      </w:pPr>
    </w:p>
    <w:p w:rsidR="00E95041" w:rsidRPr="008C5695" w:rsidRDefault="00E95041" w:rsidP="003C49B8">
      <w:pPr>
        <w:pStyle w:val="Default"/>
        <w:spacing w:after="160"/>
        <w:outlineLvl w:val="0"/>
        <w:rPr>
          <w:rFonts w:asciiTheme="minorHAnsi" w:hAnsiTheme="minorHAnsi"/>
          <w:b/>
          <w:bCs/>
          <w:color w:val="1F497D" w:themeColor="text2"/>
          <w:sz w:val="28"/>
          <w:szCs w:val="22"/>
          <w:lang w:val="en-GB"/>
        </w:rPr>
      </w:pPr>
      <w:bookmarkStart w:id="8" w:name="_Toc508351737"/>
      <w:r w:rsidRPr="008C5695">
        <w:rPr>
          <w:rFonts w:asciiTheme="minorHAnsi" w:hAnsiTheme="minorHAnsi"/>
          <w:b/>
          <w:bCs/>
          <w:color w:val="1F497D" w:themeColor="text2"/>
          <w:sz w:val="28"/>
          <w:szCs w:val="22"/>
          <w:lang w:val="en-GB"/>
        </w:rPr>
        <w:t>18</w:t>
      </w:r>
      <w:r w:rsidR="008E1A4C" w:rsidRPr="008C5695">
        <w:rPr>
          <w:rFonts w:asciiTheme="minorHAnsi" w:hAnsiTheme="minorHAnsi"/>
          <w:b/>
          <w:bCs/>
          <w:color w:val="1F497D" w:themeColor="text2"/>
          <w:sz w:val="28"/>
          <w:szCs w:val="22"/>
          <w:lang w:val="en-GB"/>
        </w:rPr>
        <w:t>. Statelessness</w:t>
      </w:r>
      <w:bookmarkEnd w:id="8"/>
    </w:p>
    <w:p w:rsidR="00F53167" w:rsidRPr="00347524" w:rsidRDefault="008E1A4C" w:rsidP="003C49B8">
      <w:pPr>
        <w:spacing w:line="240" w:lineRule="auto"/>
        <w:rPr>
          <w:rFonts w:cs="Times New Roman"/>
          <w:lang w:val="en-GB"/>
        </w:rPr>
      </w:pPr>
      <w:r w:rsidRPr="00347524">
        <w:rPr>
          <w:rFonts w:cs="Times New Roman"/>
          <w:lang w:val="en-GB"/>
        </w:rPr>
        <w:t>Norway’s</w:t>
      </w:r>
      <w:r w:rsidR="00E95041" w:rsidRPr="00347524">
        <w:rPr>
          <w:rFonts w:cs="Times New Roman"/>
          <w:lang w:val="en-GB"/>
        </w:rPr>
        <w:t xml:space="preserve"> </w:t>
      </w:r>
      <w:r w:rsidR="000B6578" w:rsidRPr="00347524">
        <w:rPr>
          <w:rFonts w:cs="Times New Roman"/>
          <w:lang w:val="en-GB"/>
        </w:rPr>
        <w:t>report, paragraph 172, refers</w:t>
      </w:r>
      <w:r w:rsidRPr="00347524">
        <w:rPr>
          <w:rFonts w:cs="Times New Roman"/>
          <w:lang w:val="en-GB"/>
        </w:rPr>
        <w:t xml:space="preserve"> to Government</w:t>
      </w:r>
      <w:r w:rsidR="00E95041" w:rsidRPr="00347524">
        <w:rPr>
          <w:rFonts w:cs="Times New Roman"/>
          <w:lang w:val="en-GB"/>
        </w:rPr>
        <w:t xml:space="preserve"> instructions</w:t>
      </w:r>
      <w:r w:rsidRPr="00347524">
        <w:rPr>
          <w:rFonts w:cs="Times New Roman"/>
          <w:lang w:val="en-GB"/>
        </w:rPr>
        <w:t>, which provides for applications for citizenship from stateless applicants who are born in Norway to be</w:t>
      </w:r>
      <w:r w:rsidR="000B6578" w:rsidRPr="00347524">
        <w:rPr>
          <w:rFonts w:cs="Times New Roman"/>
          <w:lang w:val="en-GB"/>
        </w:rPr>
        <w:t>,</w:t>
      </w:r>
      <w:r w:rsidRPr="00347524">
        <w:rPr>
          <w:rFonts w:cs="Times New Roman"/>
          <w:lang w:val="en-GB"/>
        </w:rPr>
        <w:t xml:space="preserve"> “processed in accordance with international conventions by which Norway is bound”. Such instructions, however, have insufficient legal standing as </w:t>
      </w:r>
      <w:r w:rsidR="00A8508A" w:rsidRPr="00347524">
        <w:rPr>
          <w:rFonts w:cs="Times New Roman"/>
          <w:lang w:val="en-GB"/>
        </w:rPr>
        <w:t>they</w:t>
      </w:r>
      <w:r w:rsidRPr="00347524">
        <w:rPr>
          <w:rFonts w:cs="Times New Roman"/>
          <w:lang w:val="en-GB"/>
        </w:rPr>
        <w:t xml:space="preserve"> can be changed or removed quickly by the Government. </w:t>
      </w:r>
      <w:r w:rsidR="000B6578" w:rsidRPr="00347524">
        <w:rPr>
          <w:rFonts w:cs="Times New Roman"/>
          <w:lang w:val="en-GB"/>
        </w:rPr>
        <w:t>Therefore, the Government should</w:t>
      </w:r>
      <w:r w:rsidRPr="00347524">
        <w:rPr>
          <w:rFonts w:cs="Times New Roman"/>
          <w:lang w:val="en-GB"/>
        </w:rPr>
        <w:t xml:space="preserve"> propose </w:t>
      </w:r>
      <w:r w:rsidR="00F53167" w:rsidRPr="00347524">
        <w:rPr>
          <w:rFonts w:cs="Times New Roman"/>
          <w:lang w:val="en-GB"/>
        </w:rPr>
        <w:t>a legislative act</w:t>
      </w:r>
      <w:r w:rsidR="000B6578" w:rsidRPr="00347524">
        <w:rPr>
          <w:rFonts w:cs="Times New Roman"/>
          <w:lang w:val="en-GB"/>
        </w:rPr>
        <w:t>,</w:t>
      </w:r>
      <w:r w:rsidR="00F53167" w:rsidRPr="00347524">
        <w:rPr>
          <w:rFonts w:cs="Times New Roman"/>
          <w:lang w:val="en-GB"/>
        </w:rPr>
        <w:t xml:space="preserve"> to be adopted by the Parliament</w:t>
      </w:r>
      <w:r w:rsidR="000B6578" w:rsidRPr="00347524">
        <w:rPr>
          <w:rFonts w:cs="Times New Roman"/>
          <w:lang w:val="en-GB"/>
        </w:rPr>
        <w:t>,</w:t>
      </w:r>
      <w:r w:rsidR="00F53167" w:rsidRPr="00347524">
        <w:rPr>
          <w:rFonts w:cs="Times New Roman"/>
          <w:lang w:val="en-GB"/>
        </w:rPr>
        <w:t xml:space="preserve"> with similar language</w:t>
      </w:r>
      <w:r w:rsidR="00A8508A" w:rsidRPr="00347524">
        <w:rPr>
          <w:rFonts w:cs="Times New Roman"/>
          <w:lang w:val="en-GB"/>
        </w:rPr>
        <w:t xml:space="preserve"> as the </w:t>
      </w:r>
      <w:r w:rsidR="000B6578" w:rsidRPr="00347524">
        <w:rPr>
          <w:rFonts w:cs="Times New Roman"/>
          <w:lang w:val="en-GB"/>
        </w:rPr>
        <w:t>instructions. Such</w:t>
      </w:r>
      <w:r w:rsidR="00C61C09" w:rsidRPr="00347524">
        <w:rPr>
          <w:rFonts w:cs="Times New Roman"/>
          <w:lang w:val="en-GB"/>
        </w:rPr>
        <w:t xml:space="preserve"> legislation</w:t>
      </w:r>
      <w:r w:rsidR="000B6578" w:rsidRPr="00347524">
        <w:rPr>
          <w:rFonts w:cs="Times New Roman"/>
          <w:lang w:val="en-GB"/>
        </w:rPr>
        <w:t xml:space="preserve"> would safeguard</w:t>
      </w:r>
      <w:r w:rsidR="00E95041" w:rsidRPr="00347524">
        <w:rPr>
          <w:rFonts w:cs="Times New Roman"/>
          <w:lang w:val="en-GB"/>
        </w:rPr>
        <w:t xml:space="preserve"> the rights to citizenship in a satisfactory </w:t>
      </w:r>
      <w:r w:rsidR="000B6578" w:rsidRPr="00347524">
        <w:rPr>
          <w:rFonts w:cs="Times New Roman"/>
          <w:lang w:val="en-GB"/>
        </w:rPr>
        <w:t>manner</w:t>
      </w:r>
      <w:r w:rsidR="00E95041" w:rsidRPr="00347524">
        <w:rPr>
          <w:rFonts w:cs="Times New Roman"/>
          <w:lang w:val="en-GB"/>
        </w:rPr>
        <w:t xml:space="preserve">. </w:t>
      </w:r>
    </w:p>
    <w:p w:rsidR="00E95041" w:rsidRPr="00347524" w:rsidRDefault="00F53167" w:rsidP="003C49B8">
      <w:pPr>
        <w:spacing w:line="240" w:lineRule="auto"/>
        <w:rPr>
          <w:rFonts w:cs="Times New Roman"/>
          <w:lang w:val="en-GB"/>
        </w:rPr>
      </w:pPr>
      <w:r w:rsidRPr="00347524">
        <w:rPr>
          <w:rFonts w:cs="Times New Roman"/>
          <w:lang w:val="en-GB"/>
        </w:rPr>
        <w:t xml:space="preserve">During </w:t>
      </w:r>
      <w:r w:rsidR="00113547" w:rsidRPr="00347524">
        <w:rPr>
          <w:rFonts w:cs="Times New Roman"/>
          <w:lang w:val="en-GB"/>
        </w:rPr>
        <w:t>2017</w:t>
      </w:r>
      <w:r w:rsidRPr="00347524">
        <w:rPr>
          <w:rFonts w:cs="Times New Roman"/>
          <w:lang w:val="en-GB"/>
        </w:rPr>
        <w:t>, there has been considerable political debate about an</w:t>
      </w:r>
      <w:r w:rsidR="00E95041" w:rsidRPr="00347524">
        <w:rPr>
          <w:rFonts w:cs="Times New Roman"/>
          <w:lang w:val="en-GB"/>
        </w:rPr>
        <w:t xml:space="preserve"> intensified practice </w:t>
      </w:r>
      <w:r w:rsidRPr="00347524">
        <w:rPr>
          <w:rFonts w:cs="Times New Roman"/>
          <w:lang w:val="en-GB"/>
        </w:rPr>
        <w:t xml:space="preserve">by Norwegian immigration authorities </w:t>
      </w:r>
      <w:r w:rsidR="00E95041" w:rsidRPr="00347524">
        <w:rPr>
          <w:rFonts w:cs="Times New Roman"/>
          <w:lang w:val="en-GB"/>
        </w:rPr>
        <w:t xml:space="preserve">of revoking citizenship from </w:t>
      </w:r>
      <w:r w:rsidRPr="00347524">
        <w:rPr>
          <w:rFonts w:cs="Times New Roman"/>
          <w:lang w:val="en-GB"/>
        </w:rPr>
        <w:t>persons</w:t>
      </w:r>
      <w:r w:rsidR="00E95041" w:rsidRPr="00347524">
        <w:rPr>
          <w:rFonts w:cs="Times New Roman"/>
          <w:lang w:val="en-GB"/>
        </w:rPr>
        <w:t xml:space="preserve"> who gained citizenship by application. If citizen</w:t>
      </w:r>
      <w:r w:rsidRPr="00347524">
        <w:rPr>
          <w:rFonts w:cs="Times New Roman"/>
          <w:lang w:val="en-GB"/>
        </w:rPr>
        <w:t>ship was</w:t>
      </w:r>
      <w:r w:rsidR="00E95041" w:rsidRPr="00347524">
        <w:rPr>
          <w:rFonts w:cs="Times New Roman"/>
          <w:lang w:val="en-GB"/>
        </w:rPr>
        <w:t xml:space="preserve"> gained </w:t>
      </w:r>
      <w:r w:rsidRPr="00347524">
        <w:rPr>
          <w:rFonts w:cs="Times New Roman"/>
          <w:lang w:val="en-GB"/>
        </w:rPr>
        <w:t>based on long-term residence permi</w:t>
      </w:r>
      <w:r w:rsidR="00113547" w:rsidRPr="00347524">
        <w:rPr>
          <w:rFonts w:cs="Times New Roman"/>
          <w:lang w:val="en-GB"/>
        </w:rPr>
        <w:t>ts</w:t>
      </w:r>
      <w:r w:rsidR="000B6578" w:rsidRPr="00347524">
        <w:rPr>
          <w:rFonts w:cs="Times New Roman"/>
          <w:lang w:val="en-GB"/>
        </w:rPr>
        <w:t>,</w:t>
      </w:r>
      <w:r w:rsidR="00113547" w:rsidRPr="00347524">
        <w:rPr>
          <w:rFonts w:cs="Times New Roman"/>
          <w:lang w:val="en-GB"/>
        </w:rPr>
        <w:t xml:space="preserve"> that were</w:t>
      </w:r>
      <w:r w:rsidRPr="00347524">
        <w:rPr>
          <w:rFonts w:cs="Times New Roman"/>
          <w:lang w:val="en-GB"/>
        </w:rPr>
        <w:t xml:space="preserve"> based on false information about </w:t>
      </w:r>
      <w:r w:rsidR="00113547" w:rsidRPr="00347524">
        <w:rPr>
          <w:rFonts w:cs="Times New Roman"/>
          <w:lang w:val="en-GB"/>
        </w:rPr>
        <w:t>identity</w:t>
      </w:r>
      <w:r w:rsidRPr="00347524">
        <w:rPr>
          <w:rFonts w:cs="Times New Roman"/>
          <w:lang w:val="en-GB"/>
        </w:rPr>
        <w:t>, the reason for seeking residenc</w:t>
      </w:r>
      <w:r w:rsidR="00113547" w:rsidRPr="00347524">
        <w:rPr>
          <w:rFonts w:cs="Times New Roman"/>
          <w:lang w:val="en-GB"/>
        </w:rPr>
        <w:t>e in Norway</w:t>
      </w:r>
      <w:r w:rsidRPr="00347524">
        <w:rPr>
          <w:rFonts w:cs="Times New Roman"/>
          <w:lang w:val="en-GB"/>
        </w:rPr>
        <w:t xml:space="preserve"> or other essential factors, </w:t>
      </w:r>
      <w:r w:rsidR="00E95041" w:rsidRPr="00347524">
        <w:rPr>
          <w:rFonts w:cs="Times New Roman"/>
          <w:lang w:val="en-GB"/>
        </w:rPr>
        <w:t>the citizenship can be revoked</w:t>
      </w:r>
      <w:r w:rsidRPr="00347524">
        <w:rPr>
          <w:rFonts w:cs="Times New Roman"/>
          <w:lang w:val="en-GB"/>
        </w:rPr>
        <w:t xml:space="preserve"> according to the Norwegian </w:t>
      </w:r>
      <w:r w:rsidR="00113547" w:rsidRPr="00347524">
        <w:rPr>
          <w:rFonts w:cs="Times New Roman"/>
          <w:lang w:val="en-GB"/>
        </w:rPr>
        <w:t>Citizenship</w:t>
      </w:r>
      <w:r w:rsidRPr="00347524">
        <w:rPr>
          <w:rFonts w:cs="Times New Roman"/>
          <w:lang w:val="en-GB"/>
        </w:rPr>
        <w:t xml:space="preserve"> </w:t>
      </w:r>
      <w:r w:rsidR="00113547" w:rsidRPr="00347524">
        <w:rPr>
          <w:rFonts w:cs="Times New Roman"/>
          <w:lang w:val="en-GB"/>
        </w:rPr>
        <w:t>A</w:t>
      </w:r>
      <w:r w:rsidRPr="00347524">
        <w:rPr>
          <w:rFonts w:cs="Times New Roman"/>
          <w:lang w:val="en-GB"/>
        </w:rPr>
        <w:t>ct</w:t>
      </w:r>
      <w:r w:rsidR="00113547" w:rsidRPr="00347524">
        <w:rPr>
          <w:rFonts w:cs="Times New Roman"/>
          <w:lang w:val="en-GB"/>
        </w:rPr>
        <w:t xml:space="preserve"> Article 26</w:t>
      </w:r>
      <w:r w:rsidRPr="00347524">
        <w:rPr>
          <w:rFonts w:cs="Times New Roman"/>
          <w:lang w:val="en-GB"/>
        </w:rPr>
        <w:t>.</w:t>
      </w:r>
      <w:r w:rsidR="00113547" w:rsidRPr="00347524">
        <w:rPr>
          <w:rStyle w:val="Fotnotereferanse"/>
          <w:rFonts w:cs="Times New Roman"/>
          <w:lang w:val="en-GB"/>
        </w:rPr>
        <w:footnoteReference w:id="54"/>
      </w:r>
    </w:p>
    <w:p w:rsidR="00113547" w:rsidRPr="00347524" w:rsidRDefault="00113547" w:rsidP="003C49B8">
      <w:pPr>
        <w:spacing w:line="240" w:lineRule="auto"/>
        <w:rPr>
          <w:rFonts w:cs="Times New Roman"/>
          <w:lang w:val="en-GB"/>
        </w:rPr>
      </w:pPr>
      <w:r w:rsidRPr="00347524">
        <w:rPr>
          <w:rFonts w:cs="Times New Roman"/>
          <w:lang w:val="en-GB"/>
        </w:rPr>
        <w:t>Cases exposed in the media about persons having resided in Norway for more than 15 years</w:t>
      </w:r>
      <w:r w:rsidR="00FF67E1" w:rsidRPr="00347524">
        <w:rPr>
          <w:rFonts w:cs="Times New Roman"/>
          <w:lang w:val="en-GB"/>
        </w:rPr>
        <w:t>,</w:t>
      </w:r>
      <w:r w:rsidRPr="00347524">
        <w:rPr>
          <w:rFonts w:cs="Times New Roman"/>
          <w:lang w:val="en-GB"/>
        </w:rPr>
        <w:t xml:space="preserve"> having their citizenship revoked</w:t>
      </w:r>
      <w:r w:rsidR="00FF67E1" w:rsidRPr="00347524">
        <w:rPr>
          <w:rFonts w:cs="Times New Roman"/>
          <w:lang w:val="en-GB"/>
        </w:rPr>
        <w:t xml:space="preserve">, </w:t>
      </w:r>
      <w:r w:rsidRPr="00347524">
        <w:rPr>
          <w:rFonts w:cs="Times New Roman"/>
          <w:lang w:val="en-GB"/>
        </w:rPr>
        <w:t xml:space="preserve">caused criticism from human rights groups and legal experts. </w:t>
      </w:r>
      <w:r w:rsidR="00E95041" w:rsidRPr="00347524">
        <w:rPr>
          <w:rFonts w:cs="Times New Roman"/>
          <w:lang w:val="en-GB"/>
        </w:rPr>
        <w:t>The practice ha</w:t>
      </w:r>
      <w:r w:rsidRPr="00347524">
        <w:rPr>
          <w:rFonts w:cs="Times New Roman"/>
          <w:lang w:val="en-GB"/>
        </w:rPr>
        <w:t xml:space="preserve">d severe consequences </w:t>
      </w:r>
      <w:r w:rsidR="00E95041" w:rsidRPr="00347524">
        <w:rPr>
          <w:rFonts w:cs="Times New Roman"/>
          <w:lang w:val="en-GB"/>
        </w:rPr>
        <w:t xml:space="preserve">for children and </w:t>
      </w:r>
      <w:r w:rsidRPr="00347524">
        <w:rPr>
          <w:rFonts w:cs="Times New Roman"/>
          <w:lang w:val="en-GB"/>
        </w:rPr>
        <w:t xml:space="preserve">even </w:t>
      </w:r>
      <w:r w:rsidR="00E95041" w:rsidRPr="00347524">
        <w:rPr>
          <w:rFonts w:cs="Times New Roman"/>
          <w:lang w:val="en-GB"/>
        </w:rPr>
        <w:t>grandchildren of citizens</w:t>
      </w:r>
      <w:r w:rsidRPr="00347524">
        <w:rPr>
          <w:rFonts w:cs="Times New Roman"/>
          <w:lang w:val="en-GB"/>
        </w:rPr>
        <w:t xml:space="preserve"> who had their citizenship revoked</w:t>
      </w:r>
      <w:r w:rsidR="00E95041" w:rsidRPr="00347524">
        <w:rPr>
          <w:rFonts w:cs="Times New Roman"/>
          <w:lang w:val="en-GB"/>
        </w:rPr>
        <w:t xml:space="preserve">, because their citizenship </w:t>
      </w:r>
      <w:r w:rsidRPr="00347524">
        <w:rPr>
          <w:rFonts w:cs="Times New Roman"/>
          <w:lang w:val="en-GB"/>
        </w:rPr>
        <w:t xml:space="preserve">was also </w:t>
      </w:r>
      <w:r w:rsidR="00C61C09" w:rsidRPr="00347524">
        <w:rPr>
          <w:rFonts w:cs="Times New Roman"/>
          <w:lang w:val="en-GB"/>
        </w:rPr>
        <w:t>therefore revoked</w:t>
      </w:r>
      <w:r w:rsidR="00E95041" w:rsidRPr="00347524">
        <w:rPr>
          <w:rFonts w:cs="Times New Roman"/>
          <w:lang w:val="en-GB"/>
        </w:rPr>
        <w:t xml:space="preserve">. </w:t>
      </w:r>
    </w:p>
    <w:p w:rsidR="00E95041" w:rsidRPr="00347524" w:rsidRDefault="00E95041" w:rsidP="003C49B8">
      <w:pPr>
        <w:spacing w:line="240" w:lineRule="auto"/>
        <w:rPr>
          <w:rFonts w:cs="Times New Roman"/>
          <w:lang w:val="en-GB"/>
        </w:rPr>
      </w:pPr>
      <w:r w:rsidRPr="00347524">
        <w:rPr>
          <w:rFonts w:cs="Times New Roman"/>
          <w:lang w:val="en-GB"/>
        </w:rPr>
        <w:t xml:space="preserve">As the </w:t>
      </w:r>
      <w:r w:rsidR="00113547" w:rsidRPr="00347524">
        <w:rPr>
          <w:rFonts w:cs="Times New Roman"/>
          <w:lang w:val="en-GB"/>
        </w:rPr>
        <w:t>Nationality Act</w:t>
      </w:r>
      <w:r w:rsidRPr="00347524">
        <w:rPr>
          <w:rFonts w:cs="Times New Roman"/>
          <w:lang w:val="en-GB"/>
        </w:rPr>
        <w:t xml:space="preserve"> does not allow for dual citizenship, revoking citizenship leave</w:t>
      </w:r>
      <w:r w:rsidR="00FF67E1" w:rsidRPr="00347524">
        <w:rPr>
          <w:rFonts w:cs="Times New Roman"/>
          <w:lang w:val="en-GB"/>
        </w:rPr>
        <w:t>s</w:t>
      </w:r>
      <w:r w:rsidRPr="00347524">
        <w:rPr>
          <w:rFonts w:cs="Times New Roman"/>
          <w:lang w:val="en-GB"/>
        </w:rPr>
        <w:t xml:space="preserve"> people stateless. </w:t>
      </w:r>
      <w:r w:rsidR="00113547" w:rsidRPr="00347524">
        <w:rPr>
          <w:rFonts w:cs="Times New Roman"/>
          <w:lang w:val="en-GB"/>
        </w:rPr>
        <w:t xml:space="preserve">In some cases of revocation, the consequence was that children </w:t>
      </w:r>
      <w:r w:rsidR="00FF67E1" w:rsidRPr="00347524">
        <w:rPr>
          <w:rFonts w:cs="Times New Roman"/>
          <w:lang w:val="en-GB"/>
        </w:rPr>
        <w:t xml:space="preserve">who </w:t>
      </w:r>
      <w:r w:rsidR="00113547" w:rsidRPr="00347524">
        <w:rPr>
          <w:rFonts w:cs="Times New Roman"/>
          <w:lang w:val="en-GB"/>
        </w:rPr>
        <w:t xml:space="preserve">were born in Norway were left stateless and </w:t>
      </w:r>
      <w:r w:rsidR="00994EDC" w:rsidRPr="00347524">
        <w:rPr>
          <w:rFonts w:cs="Times New Roman"/>
          <w:lang w:val="en-GB"/>
        </w:rPr>
        <w:t>under an obligation to leave the country.</w:t>
      </w:r>
    </w:p>
    <w:p w:rsidR="00C61C09" w:rsidRPr="00347524" w:rsidRDefault="00994EDC" w:rsidP="003C49B8">
      <w:pPr>
        <w:spacing w:line="240" w:lineRule="auto"/>
        <w:rPr>
          <w:rFonts w:cs="Times New Roman"/>
          <w:lang w:val="en-GB"/>
        </w:rPr>
      </w:pPr>
      <w:r w:rsidRPr="00347524">
        <w:rPr>
          <w:rFonts w:cs="Times New Roman"/>
          <w:lang w:val="en-GB"/>
        </w:rPr>
        <w:t xml:space="preserve">The Government and the Parliament is currently reviewing the </w:t>
      </w:r>
      <w:r w:rsidR="00E95041" w:rsidRPr="00347524">
        <w:rPr>
          <w:rFonts w:cs="Times New Roman"/>
          <w:lang w:val="en-GB"/>
        </w:rPr>
        <w:t>practice of revoking citizenship</w:t>
      </w:r>
      <w:r w:rsidRPr="00347524">
        <w:rPr>
          <w:rFonts w:cs="Times New Roman"/>
          <w:lang w:val="en-GB"/>
        </w:rPr>
        <w:t>. Proposals have been introduced in the Parliament that</w:t>
      </w:r>
      <w:r w:rsidR="00FF67E1" w:rsidRPr="00347524">
        <w:rPr>
          <w:rFonts w:cs="Times New Roman"/>
          <w:lang w:val="en-GB"/>
        </w:rPr>
        <w:t>,</w:t>
      </w:r>
      <w:r w:rsidRPr="00347524">
        <w:rPr>
          <w:rFonts w:cs="Times New Roman"/>
          <w:lang w:val="en-GB"/>
        </w:rPr>
        <w:t xml:space="preserve"> revocation should only be possible by a decision of a court, and that there should be an upper time limit. </w:t>
      </w:r>
    </w:p>
    <w:p w:rsidR="00E95041" w:rsidRPr="00347524" w:rsidRDefault="00994EDC" w:rsidP="003C49B8">
      <w:pPr>
        <w:spacing w:line="240" w:lineRule="auto"/>
        <w:rPr>
          <w:rFonts w:cs="Times New Roman"/>
          <w:lang w:val="en-GB"/>
        </w:rPr>
      </w:pPr>
      <w:r w:rsidRPr="00347524">
        <w:rPr>
          <w:rFonts w:cs="Times New Roman"/>
          <w:lang w:val="en-GB"/>
        </w:rPr>
        <w:t xml:space="preserve">Another proposal is to introduce legislation which ensures that children cannot be left stateless even though their parents or grandparents gained a right to </w:t>
      </w:r>
      <w:r w:rsidR="00FF67E1" w:rsidRPr="00347524">
        <w:rPr>
          <w:rFonts w:cs="Times New Roman"/>
          <w:lang w:val="en-GB"/>
        </w:rPr>
        <w:t>residency</w:t>
      </w:r>
      <w:r w:rsidRPr="00347524">
        <w:rPr>
          <w:rFonts w:cs="Times New Roman"/>
          <w:lang w:val="en-GB"/>
        </w:rPr>
        <w:t xml:space="preserve"> based on false information.</w:t>
      </w:r>
    </w:p>
    <w:p w:rsidR="00E95041" w:rsidRPr="00347524" w:rsidRDefault="00E95041" w:rsidP="003C49B8">
      <w:pPr>
        <w:spacing w:line="240" w:lineRule="auto"/>
        <w:rPr>
          <w:rFonts w:cs="Times New Roman"/>
          <w:b/>
          <w:lang w:val="en-GB"/>
        </w:rPr>
      </w:pPr>
      <w:r w:rsidRPr="00347524">
        <w:rPr>
          <w:rFonts w:cs="Times New Roman"/>
          <w:b/>
          <w:lang w:val="en-GB"/>
        </w:rPr>
        <w:t xml:space="preserve">Recommendations: </w:t>
      </w:r>
    </w:p>
    <w:p w:rsidR="00E95041" w:rsidRPr="00347524" w:rsidRDefault="00A8508A" w:rsidP="003C49B8">
      <w:pPr>
        <w:pStyle w:val="Listeavsnitt"/>
        <w:numPr>
          <w:ilvl w:val="0"/>
          <w:numId w:val="44"/>
        </w:numPr>
        <w:spacing w:after="200" w:line="240" w:lineRule="auto"/>
        <w:rPr>
          <w:rFonts w:cs="Times New Roman"/>
          <w:lang w:val="en-GB"/>
        </w:rPr>
      </w:pPr>
      <w:r w:rsidRPr="00347524">
        <w:rPr>
          <w:rFonts w:cs="Times New Roman"/>
          <w:lang w:val="en-GB"/>
        </w:rPr>
        <w:t xml:space="preserve">Put in place </w:t>
      </w:r>
      <w:r w:rsidR="00994EDC" w:rsidRPr="00347524">
        <w:rPr>
          <w:rFonts w:cs="Times New Roman"/>
          <w:lang w:val="en-GB"/>
        </w:rPr>
        <w:t>legislation which ensures that applications for citizenship from stateless applicants</w:t>
      </w:r>
      <w:r w:rsidR="00FF67E1" w:rsidRPr="00347524">
        <w:rPr>
          <w:rFonts w:cs="Times New Roman"/>
          <w:lang w:val="en-GB"/>
        </w:rPr>
        <w:t>,</w:t>
      </w:r>
      <w:r w:rsidR="00994EDC" w:rsidRPr="00347524">
        <w:rPr>
          <w:rFonts w:cs="Times New Roman"/>
          <w:lang w:val="en-GB"/>
        </w:rPr>
        <w:t xml:space="preserve"> who are born in Norway</w:t>
      </w:r>
      <w:r w:rsidR="00FF67E1" w:rsidRPr="00347524">
        <w:rPr>
          <w:rFonts w:cs="Times New Roman"/>
          <w:lang w:val="en-GB"/>
        </w:rPr>
        <w:t>,</w:t>
      </w:r>
      <w:r w:rsidR="00994EDC" w:rsidRPr="00347524">
        <w:rPr>
          <w:rFonts w:cs="Times New Roman"/>
          <w:lang w:val="en-GB"/>
        </w:rPr>
        <w:t xml:space="preserve"> are processed in accordance with binding international law;</w:t>
      </w:r>
    </w:p>
    <w:p w:rsidR="00E95041" w:rsidRPr="00347524" w:rsidRDefault="00994EDC" w:rsidP="003C49B8">
      <w:pPr>
        <w:pStyle w:val="Listeavsnitt"/>
        <w:numPr>
          <w:ilvl w:val="0"/>
          <w:numId w:val="44"/>
        </w:numPr>
        <w:spacing w:after="200" w:line="240" w:lineRule="auto"/>
        <w:rPr>
          <w:rFonts w:cs="Times New Roman"/>
          <w:lang w:val="en-GB"/>
        </w:rPr>
      </w:pPr>
      <w:r w:rsidRPr="00347524">
        <w:rPr>
          <w:rFonts w:cs="Times New Roman"/>
          <w:lang w:val="en-GB"/>
        </w:rPr>
        <w:t>Limit</w:t>
      </w:r>
      <w:r w:rsidR="00E95041" w:rsidRPr="00347524">
        <w:rPr>
          <w:rFonts w:cs="Times New Roman"/>
          <w:lang w:val="en-GB"/>
        </w:rPr>
        <w:t xml:space="preserve"> the practice of revok</w:t>
      </w:r>
      <w:r w:rsidRPr="00347524">
        <w:rPr>
          <w:rFonts w:cs="Times New Roman"/>
          <w:lang w:val="en-GB"/>
        </w:rPr>
        <w:t>ing</w:t>
      </w:r>
      <w:r w:rsidR="00E95041" w:rsidRPr="00347524">
        <w:rPr>
          <w:rFonts w:cs="Times New Roman"/>
          <w:lang w:val="en-GB"/>
        </w:rPr>
        <w:t xml:space="preserve"> Norwegian citizenship</w:t>
      </w:r>
      <w:r w:rsidRPr="00347524">
        <w:rPr>
          <w:rFonts w:cs="Times New Roman"/>
          <w:lang w:val="en-GB"/>
        </w:rPr>
        <w:t xml:space="preserve"> by requiring that revocation can only be decided by a court and by introducing a time limit;</w:t>
      </w:r>
      <w:r w:rsidR="00E95041" w:rsidRPr="00347524">
        <w:rPr>
          <w:rFonts w:cs="Times New Roman"/>
          <w:lang w:val="en-GB"/>
        </w:rPr>
        <w:t xml:space="preserve"> </w:t>
      </w:r>
    </w:p>
    <w:p w:rsidR="00E95041" w:rsidRPr="00347524" w:rsidRDefault="00994EDC" w:rsidP="003C49B8">
      <w:pPr>
        <w:pStyle w:val="Listeavsnitt"/>
        <w:numPr>
          <w:ilvl w:val="0"/>
          <w:numId w:val="44"/>
        </w:numPr>
        <w:spacing w:after="200" w:line="240" w:lineRule="auto"/>
        <w:rPr>
          <w:lang w:val="en-GB"/>
        </w:rPr>
      </w:pPr>
      <w:r w:rsidRPr="00347524">
        <w:rPr>
          <w:rFonts w:cs="Times New Roman"/>
          <w:lang w:val="en-GB"/>
        </w:rPr>
        <w:t xml:space="preserve">Introduce legislative guarantees that </w:t>
      </w:r>
      <w:r w:rsidR="00FF67E1" w:rsidRPr="00347524">
        <w:rPr>
          <w:rFonts w:cs="Times New Roman"/>
          <w:lang w:val="en-GB"/>
        </w:rPr>
        <w:t>ensure children</w:t>
      </w:r>
      <w:r w:rsidRPr="00347524">
        <w:rPr>
          <w:rFonts w:cs="Times New Roman"/>
          <w:lang w:val="en-GB"/>
        </w:rPr>
        <w:t xml:space="preserve"> are not made st</w:t>
      </w:r>
      <w:r w:rsidR="00E95041" w:rsidRPr="00347524">
        <w:rPr>
          <w:rFonts w:cs="Times New Roman"/>
          <w:lang w:val="en-GB"/>
        </w:rPr>
        <w:t>ateless</w:t>
      </w:r>
      <w:r w:rsidRPr="00347524">
        <w:rPr>
          <w:rFonts w:cs="Times New Roman"/>
          <w:lang w:val="en-GB"/>
        </w:rPr>
        <w:t xml:space="preserve"> due to mistakes </w:t>
      </w:r>
      <w:r w:rsidR="00FF67E1" w:rsidRPr="00347524">
        <w:rPr>
          <w:rFonts w:cs="Times New Roman"/>
          <w:lang w:val="en-GB"/>
        </w:rPr>
        <w:t xml:space="preserve">made </w:t>
      </w:r>
      <w:r w:rsidRPr="00347524">
        <w:rPr>
          <w:rFonts w:cs="Times New Roman"/>
          <w:lang w:val="en-GB"/>
        </w:rPr>
        <w:t>by their parents</w:t>
      </w:r>
      <w:r w:rsidR="00E95041" w:rsidRPr="00347524">
        <w:rPr>
          <w:rFonts w:cs="Times New Roman"/>
          <w:lang w:val="en-GB"/>
        </w:rPr>
        <w:t>.</w:t>
      </w:r>
    </w:p>
    <w:p w:rsidR="00BC59BC" w:rsidRPr="00347524" w:rsidRDefault="00BC59BC" w:rsidP="003C49B8">
      <w:pPr>
        <w:spacing w:after="200" w:line="240" w:lineRule="auto"/>
        <w:rPr>
          <w:lang w:val="en-GB"/>
        </w:rPr>
      </w:pPr>
    </w:p>
    <w:p w:rsidR="00BC59BC" w:rsidRPr="008C5695" w:rsidRDefault="00BC59BC" w:rsidP="003C49B8">
      <w:pPr>
        <w:pStyle w:val="Default"/>
        <w:spacing w:after="160"/>
        <w:outlineLvl w:val="0"/>
        <w:rPr>
          <w:rFonts w:asciiTheme="minorHAnsi" w:hAnsiTheme="minorHAnsi"/>
          <w:b/>
          <w:bCs/>
          <w:color w:val="1F497D" w:themeColor="text2"/>
          <w:sz w:val="28"/>
          <w:szCs w:val="22"/>
          <w:lang w:val="en-GB"/>
        </w:rPr>
      </w:pPr>
      <w:bookmarkStart w:id="9" w:name="_Toc508351738"/>
      <w:r w:rsidRPr="008C5695">
        <w:rPr>
          <w:rFonts w:asciiTheme="minorHAnsi" w:hAnsiTheme="minorHAnsi"/>
          <w:b/>
          <w:bCs/>
          <w:color w:val="1F497D" w:themeColor="text2"/>
          <w:sz w:val="28"/>
          <w:szCs w:val="22"/>
          <w:lang w:val="en-GB"/>
        </w:rPr>
        <w:t>19-22. Rights of persons belonging to minorities (arts. 23, 24, 26 and 27)</w:t>
      </w:r>
      <w:bookmarkEnd w:id="9"/>
    </w:p>
    <w:p w:rsidR="00BC59BC" w:rsidRPr="00347524" w:rsidRDefault="00BC59BC" w:rsidP="003C49B8">
      <w:pPr>
        <w:spacing w:line="240" w:lineRule="auto"/>
        <w:rPr>
          <w:rFonts w:cs="Times New Roman"/>
          <w:bCs/>
          <w:lang w:val="en-GB"/>
        </w:rPr>
      </w:pPr>
      <w:r w:rsidRPr="00347524">
        <w:rPr>
          <w:rFonts w:cs="Times New Roman"/>
          <w:bCs/>
          <w:lang w:val="en-GB"/>
        </w:rPr>
        <w:t xml:space="preserve">21. </w:t>
      </w:r>
      <w:r w:rsidR="00C61C09" w:rsidRPr="00347524">
        <w:rPr>
          <w:rFonts w:cs="Times New Roman"/>
          <w:bCs/>
          <w:lang w:val="en-GB"/>
        </w:rPr>
        <w:t>A</w:t>
      </w:r>
      <w:r w:rsidRPr="00347524">
        <w:rPr>
          <w:rFonts w:cs="Times New Roman"/>
          <w:bCs/>
          <w:lang w:val="en-GB"/>
        </w:rPr>
        <w:t xml:space="preserve"> </w:t>
      </w:r>
      <w:r w:rsidR="00D14072" w:rsidRPr="00347524">
        <w:rPr>
          <w:rFonts w:cs="Times New Roman"/>
          <w:bCs/>
          <w:lang w:val="en-GB"/>
        </w:rPr>
        <w:t>Government</w:t>
      </w:r>
      <w:r w:rsidRPr="00347524">
        <w:rPr>
          <w:rFonts w:cs="Times New Roman"/>
          <w:bCs/>
          <w:lang w:val="en-GB"/>
        </w:rPr>
        <w:t xml:space="preserve"> appointed committee</w:t>
      </w:r>
      <w:r w:rsidR="00FF67E1" w:rsidRPr="00347524">
        <w:rPr>
          <w:rFonts w:cs="Times New Roman"/>
          <w:bCs/>
          <w:lang w:val="en-GB"/>
        </w:rPr>
        <w:t>,</w:t>
      </w:r>
      <w:r w:rsidRPr="00347524">
        <w:rPr>
          <w:rFonts w:cs="Times New Roman"/>
          <w:bCs/>
          <w:lang w:val="en-GB"/>
        </w:rPr>
        <w:t xml:space="preserve"> </w:t>
      </w:r>
      <w:r w:rsidR="00FF67E1" w:rsidRPr="00347524">
        <w:rPr>
          <w:rFonts w:cs="Times New Roman"/>
          <w:bCs/>
          <w:lang w:val="en-GB"/>
        </w:rPr>
        <w:t xml:space="preserve">responsible with the investigation into </w:t>
      </w:r>
      <w:r w:rsidRPr="00347524">
        <w:rPr>
          <w:rFonts w:cs="Times New Roman"/>
          <w:bCs/>
          <w:lang w:val="en-GB"/>
        </w:rPr>
        <w:t>Norwegian policies regarding the Romani people/Tater</w:t>
      </w:r>
      <w:r w:rsidR="00A8508A" w:rsidRPr="00347524">
        <w:rPr>
          <w:rFonts w:cs="Times New Roman"/>
          <w:bCs/>
          <w:lang w:val="en-GB"/>
        </w:rPr>
        <w:t>s</w:t>
      </w:r>
      <w:r w:rsidR="00FF67E1" w:rsidRPr="00347524">
        <w:rPr>
          <w:rFonts w:cs="Times New Roman"/>
          <w:bCs/>
          <w:lang w:val="en-GB"/>
        </w:rPr>
        <w:t>,</w:t>
      </w:r>
      <w:r w:rsidRPr="00347524">
        <w:rPr>
          <w:rFonts w:cs="Times New Roman"/>
          <w:bCs/>
          <w:lang w:val="en-GB"/>
        </w:rPr>
        <w:t xml:space="preserve"> submitted its report in 2015, </w:t>
      </w:r>
      <w:r w:rsidRPr="00347524">
        <w:rPr>
          <w:rFonts w:cs="Times New Roman"/>
          <w:bCs/>
          <w:i/>
          <w:lang w:val="en-GB"/>
        </w:rPr>
        <w:t>Assimilation and Resistance</w:t>
      </w:r>
      <w:r w:rsidRPr="00347524">
        <w:rPr>
          <w:rFonts w:cs="Times New Roman"/>
          <w:bCs/>
          <w:lang w:val="en-GB"/>
        </w:rPr>
        <w:t xml:space="preserve"> (NOU 2015: 7).</w:t>
      </w:r>
      <w:r w:rsidRPr="00347524">
        <w:rPr>
          <w:rStyle w:val="Fotnotereferanse"/>
          <w:rFonts w:cs="Times New Roman"/>
          <w:bCs/>
          <w:lang w:val="en-GB"/>
        </w:rPr>
        <w:footnoteReference w:id="55"/>
      </w:r>
      <w:r w:rsidRPr="00347524">
        <w:rPr>
          <w:rFonts w:cs="Times New Roman"/>
          <w:bCs/>
          <w:lang w:val="en-GB"/>
        </w:rPr>
        <w:t xml:space="preserve"> The </w:t>
      </w:r>
      <w:r w:rsidR="00D14072" w:rsidRPr="00347524">
        <w:rPr>
          <w:rFonts w:cs="Times New Roman"/>
          <w:bCs/>
          <w:lang w:val="en-GB"/>
        </w:rPr>
        <w:t>Government</w:t>
      </w:r>
      <w:r w:rsidRPr="00347524">
        <w:rPr>
          <w:rFonts w:cs="Times New Roman"/>
          <w:bCs/>
          <w:lang w:val="en-GB"/>
        </w:rPr>
        <w:t xml:space="preserve"> is still considering follow-up of the report as well as many comments received during a hearing period that ended </w:t>
      </w:r>
      <w:r w:rsidR="00FF67E1" w:rsidRPr="00347524">
        <w:rPr>
          <w:rFonts w:cs="Times New Roman"/>
          <w:bCs/>
          <w:lang w:val="en-GB"/>
        </w:rPr>
        <w:t xml:space="preserve">on </w:t>
      </w:r>
      <w:r w:rsidR="0040216D" w:rsidRPr="00347524">
        <w:rPr>
          <w:rFonts w:cs="Times New Roman"/>
          <w:bCs/>
          <w:lang w:val="en-GB"/>
        </w:rPr>
        <w:t>30</w:t>
      </w:r>
      <w:r w:rsidR="0040216D" w:rsidRPr="00347524">
        <w:rPr>
          <w:rFonts w:cs="Times New Roman"/>
          <w:bCs/>
          <w:vertAlign w:val="superscript"/>
          <w:lang w:val="en-GB"/>
        </w:rPr>
        <w:t>th</w:t>
      </w:r>
      <w:r w:rsidR="0040216D" w:rsidRPr="00347524">
        <w:rPr>
          <w:rFonts w:cs="Times New Roman"/>
          <w:bCs/>
          <w:lang w:val="en-GB"/>
        </w:rPr>
        <w:t xml:space="preserve"> of </w:t>
      </w:r>
      <w:r w:rsidR="00FF67E1" w:rsidRPr="00347524">
        <w:rPr>
          <w:rFonts w:cs="Times New Roman"/>
          <w:bCs/>
          <w:lang w:val="en-GB"/>
        </w:rPr>
        <w:t>May 2016</w:t>
      </w:r>
      <w:r w:rsidRPr="00347524">
        <w:rPr>
          <w:rFonts w:cs="Times New Roman"/>
          <w:bCs/>
          <w:lang w:val="en-GB"/>
        </w:rPr>
        <w:t>.</w:t>
      </w:r>
    </w:p>
    <w:p w:rsidR="00BC59BC" w:rsidRPr="00347524" w:rsidRDefault="00BC59BC" w:rsidP="003C49B8">
      <w:pPr>
        <w:spacing w:line="240" w:lineRule="auto"/>
        <w:rPr>
          <w:rFonts w:cs="Times New Roman"/>
          <w:bCs/>
          <w:lang w:val="en-GB"/>
        </w:rPr>
      </w:pPr>
      <w:r w:rsidRPr="00347524">
        <w:rPr>
          <w:rFonts w:cs="Times New Roman"/>
          <w:bCs/>
          <w:lang w:val="en-GB"/>
        </w:rPr>
        <w:t>There are different views among</w:t>
      </w:r>
      <w:r w:rsidR="00A8508A" w:rsidRPr="00347524">
        <w:rPr>
          <w:rFonts w:cs="Times New Roman"/>
          <w:bCs/>
          <w:lang w:val="en-GB"/>
        </w:rPr>
        <w:t xml:space="preserve"> persons belonging to</w:t>
      </w:r>
      <w:r w:rsidRPr="00347524">
        <w:rPr>
          <w:rFonts w:cs="Times New Roman"/>
          <w:bCs/>
          <w:lang w:val="en-GB"/>
        </w:rPr>
        <w:t xml:space="preserve"> the </w:t>
      </w:r>
      <w:r w:rsidR="00A8508A" w:rsidRPr="00347524">
        <w:rPr>
          <w:rFonts w:cs="Times New Roman"/>
          <w:bCs/>
          <w:lang w:val="en-GB"/>
        </w:rPr>
        <w:t>minority</w:t>
      </w:r>
      <w:r w:rsidRPr="00347524">
        <w:rPr>
          <w:rFonts w:cs="Times New Roman"/>
          <w:bCs/>
          <w:lang w:val="en-GB"/>
        </w:rPr>
        <w:t xml:space="preserve"> on </w:t>
      </w:r>
      <w:r w:rsidR="00C61C09" w:rsidRPr="00347524">
        <w:rPr>
          <w:rFonts w:cs="Times New Roman"/>
          <w:bCs/>
          <w:lang w:val="en-GB"/>
        </w:rPr>
        <w:t>whether</w:t>
      </w:r>
      <w:r w:rsidR="00FF67E1" w:rsidRPr="00347524">
        <w:rPr>
          <w:rFonts w:cs="Times New Roman"/>
          <w:bCs/>
          <w:lang w:val="en-GB"/>
        </w:rPr>
        <w:t xml:space="preserve"> </w:t>
      </w:r>
      <w:r w:rsidRPr="00347524">
        <w:rPr>
          <w:rFonts w:cs="Times New Roman"/>
          <w:bCs/>
          <w:lang w:val="en-GB"/>
        </w:rPr>
        <w:t xml:space="preserve">the Government should establish special measures to support members of the minority, which due to the previous assimilation policies are in a vulnerable and/or </w:t>
      </w:r>
      <w:r w:rsidR="00FF67E1" w:rsidRPr="00347524">
        <w:rPr>
          <w:rFonts w:cs="Times New Roman"/>
          <w:bCs/>
          <w:lang w:val="en-GB"/>
        </w:rPr>
        <w:t>unfavourable</w:t>
      </w:r>
      <w:r w:rsidRPr="00347524">
        <w:rPr>
          <w:rFonts w:cs="Times New Roman"/>
          <w:bCs/>
          <w:lang w:val="en-GB"/>
        </w:rPr>
        <w:t xml:space="preserve"> position. Some hold that such measures</w:t>
      </w:r>
      <w:r w:rsidR="00A8508A" w:rsidRPr="00347524">
        <w:rPr>
          <w:rFonts w:cs="Times New Roman"/>
          <w:bCs/>
          <w:lang w:val="en-GB"/>
        </w:rPr>
        <w:t xml:space="preserve"> will increase the visibility of the group and therefore increase the risk of discrimination and harassment.</w:t>
      </w:r>
    </w:p>
    <w:p w:rsidR="00BC59BC" w:rsidRPr="00347524" w:rsidRDefault="00BC59BC" w:rsidP="003C49B8">
      <w:pPr>
        <w:spacing w:line="240" w:lineRule="auto"/>
        <w:rPr>
          <w:rFonts w:cs="Times New Roman"/>
          <w:bCs/>
          <w:lang w:val="en-GB"/>
        </w:rPr>
      </w:pPr>
      <w:r w:rsidRPr="00347524">
        <w:rPr>
          <w:rFonts w:cs="Times New Roman"/>
          <w:bCs/>
          <w:lang w:val="en-GB"/>
        </w:rPr>
        <w:t>Others hold that the group needs to become more visible to overcome negative attitudes and rebuild trust between the group, the state and the majority population.</w:t>
      </w:r>
    </w:p>
    <w:p w:rsidR="00BC59BC" w:rsidRPr="00347524" w:rsidRDefault="00BC59BC" w:rsidP="003C49B8">
      <w:pPr>
        <w:spacing w:line="240" w:lineRule="auto"/>
        <w:rPr>
          <w:rFonts w:cs="Times New Roman"/>
          <w:bCs/>
          <w:lang w:val="en-GB"/>
        </w:rPr>
      </w:pPr>
      <w:r w:rsidRPr="00347524">
        <w:rPr>
          <w:rFonts w:cs="Times New Roman"/>
          <w:bCs/>
          <w:lang w:val="en-GB"/>
        </w:rPr>
        <w:t xml:space="preserve">In our view, the Government and authorities at different levels should engage in </w:t>
      </w:r>
      <w:r w:rsidR="00FF67E1" w:rsidRPr="00347524">
        <w:rPr>
          <w:rFonts w:cs="Times New Roman"/>
          <w:bCs/>
          <w:lang w:val="en-GB"/>
        </w:rPr>
        <w:t xml:space="preserve">greater </w:t>
      </w:r>
      <w:r w:rsidRPr="00347524">
        <w:rPr>
          <w:rFonts w:cs="Times New Roman"/>
          <w:bCs/>
          <w:lang w:val="en-GB"/>
        </w:rPr>
        <w:t>dialogue with members of the minority. Reconciliation and building of trust is a long-term process</w:t>
      </w:r>
      <w:r w:rsidR="00FF67E1" w:rsidRPr="00347524">
        <w:rPr>
          <w:rFonts w:cs="Times New Roman"/>
          <w:bCs/>
          <w:lang w:val="en-GB"/>
        </w:rPr>
        <w:t>,</w:t>
      </w:r>
      <w:r w:rsidRPr="00347524">
        <w:rPr>
          <w:rFonts w:cs="Times New Roman"/>
          <w:bCs/>
          <w:lang w:val="en-GB"/>
        </w:rPr>
        <w:t xml:space="preserve"> due to the pervasive negative effects of past policies. There is a need for members of the minority to see that the Government is pro-active and wants to improve the relationship, not the least at local levels </w:t>
      </w:r>
      <w:r w:rsidR="00FF67E1" w:rsidRPr="00347524">
        <w:rPr>
          <w:rFonts w:cs="Times New Roman"/>
          <w:bCs/>
          <w:lang w:val="en-GB"/>
        </w:rPr>
        <w:t xml:space="preserve">with the </w:t>
      </w:r>
      <w:r w:rsidRPr="00347524">
        <w:rPr>
          <w:rFonts w:cs="Times New Roman"/>
          <w:bCs/>
          <w:lang w:val="en-GB"/>
        </w:rPr>
        <w:t>police</w:t>
      </w:r>
      <w:r w:rsidR="00A143B3" w:rsidRPr="00347524">
        <w:rPr>
          <w:rFonts w:cs="Times New Roman"/>
          <w:bCs/>
          <w:lang w:val="en-GB"/>
        </w:rPr>
        <w:t>, educational institutions, social welfare institutions, etc.</w:t>
      </w:r>
    </w:p>
    <w:p w:rsidR="00BC59BC" w:rsidRPr="00347524" w:rsidRDefault="00A143B3" w:rsidP="003C49B8">
      <w:pPr>
        <w:spacing w:line="240" w:lineRule="auto"/>
        <w:rPr>
          <w:rFonts w:cs="Times New Roman"/>
          <w:bCs/>
          <w:lang w:val="en-GB"/>
        </w:rPr>
      </w:pPr>
      <w:r w:rsidRPr="00347524">
        <w:rPr>
          <w:rFonts w:cs="Times New Roman"/>
          <w:bCs/>
          <w:lang w:val="en-GB"/>
        </w:rPr>
        <w:t>It</w:t>
      </w:r>
      <w:r w:rsidR="00BC59BC" w:rsidRPr="00347524">
        <w:rPr>
          <w:rFonts w:cs="Times New Roman"/>
          <w:bCs/>
          <w:lang w:val="en-GB"/>
        </w:rPr>
        <w:t xml:space="preserve"> is</w:t>
      </w:r>
      <w:r w:rsidRPr="00347524">
        <w:rPr>
          <w:rFonts w:cs="Times New Roman"/>
          <w:bCs/>
          <w:lang w:val="en-GB"/>
        </w:rPr>
        <w:t>, however,</w:t>
      </w:r>
      <w:r w:rsidR="00BC59BC" w:rsidRPr="00347524">
        <w:rPr>
          <w:rFonts w:cs="Times New Roman"/>
          <w:bCs/>
          <w:lang w:val="en-GB"/>
        </w:rPr>
        <w:t xml:space="preserve"> urgent for the Government to deal with issues related to compensation for past abuses against members of the minority. As the </w:t>
      </w:r>
      <w:r w:rsidR="00D14072" w:rsidRPr="00347524">
        <w:rPr>
          <w:rFonts w:cs="Times New Roman"/>
          <w:bCs/>
          <w:lang w:val="en-GB"/>
        </w:rPr>
        <w:t>Government</w:t>
      </w:r>
      <w:r w:rsidR="00BC59BC" w:rsidRPr="00347524">
        <w:rPr>
          <w:rFonts w:cs="Times New Roman"/>
          <w:bCs/>
          <w:lang w:val="en-GB"/>
        </w:rPr>
        <w:t xml:space="preserve"> committee, the Council of Europe Advisory Committee on the Framework Convention on National Minorities</w:t>
      </w:r>
      <w:r w:rsidR="00BC59BC" w:rsidRPr="00347524">
        <w:rPr>
          <w:rStyle w:val="Fotnotereferanse"/>
          <w:rFonts w:cs="Times New Roman"/>
          <w:bCs/>
          <w:lang w:val="en-GB"/>
        </w:rPr>
        <w:footnoteReference w:id="56"/>
      </w:r>
      <w:r w:rsidR="00BC59BC" w:rsidRPr="00347524">
        <w:rPr>
          <w:rFonts w:cs="Times New Roman"/>
          <w:bCs/>
          <w:lang w:val="en-GB"/>
        </w:rPr>
        <w:t xml:space="preserve"> and civil society organizations in Norway have underlined, there is an urgent need to standardize economic compensation schemes for past abuses.</w:t>
      </w:r>
    </w:p>
    <w:p w:rsidR="00BC59BC" w:rsidRPr="00347524" w:rsidRDefault="00BC59BC" w:rsidP="003C49B8">
      <w:pPr>
        <w:spacing w:line="240" w:lineRule="auto"/>
        <w:rPr>
          <w:rFonts w:cs="Times New Roman"/>
          <w:bCs/>
          <w:lang w:val="en-GB"/>
        </w:rPr>
      </w:pPr>
      <w:r w:rsidRPr="00347524">
        <w:rPr>
          <w:rFonts w:cs="Times New Roman"/>
          <w:bCs/>
          <w:lang w:val="en-GB"/>
        </w:rPr>
        <w:t xml:space="preserve">As an example, some Romani persons who suffered abuses at orphanages were rewarded by municipal compensation schemes, while others who suffered similar abuses were not rewarded either because the municipality responsible for placing the person in an orphanage did not establish a compensation scheme or because of </w:t>
      </w:r>
      <w:r w:rsidR="009C6870" w:rsidRPr="00347524">
        <w:rPr>
          <w:rFonts w:cs="Times New Roman"/>
          <w:bCs/>
          <w:lang w:val="en-GB"/>
        </w:rPr>
        <w:t xml:space="preserve">the </w:t>
      </w:r>
      <w:r w:rsidRPr="00347524">
        <w:rPr>
          <w:rFonts w:cs="Times New Roman"/>
          <w:bCs/>
          <w:lang w:val="en-GB"/>
        </w:rPr>
        <w:t>lack of documentation or a formalized placement decision.</w:t>
      </w:r>
    </w:p>
    <w:p w:rsidR="00BC59BC" w:rsidRPr="00347524" w:rsidRDefault="00BC59BC" w:rsidP="003C49B8">
      <w:pPr>
        <w:spacing w:line="240" w:lineRule="auto"/>
        <w:rPr>
          <w:rFonts w:cs="Times New Roman"/>
          <w:b/>
          <w:bCs/>
          <w:lang w:val="en-GB"/>
        </w:rPr>
      </w:pPr>
    </w:p>
    <w:p w:rsidR="00BC59BC" w:rsidRPr="00347524" w:rsidRDefault="00BC59BC" w:rsidP="003C49B8">
      <w:pPr>
        <w:spacing w:line="240" w:lineRule="auto"/>
        <w:rPr>
          <w:rFonts w:cs="Times New Roman"/>
          <w:b/>
          <w:bCs/>
          <w:lang w:val="en-GB"/>
        </w:rPr>
      </w:pPr>
      <w:r w:rsidRPr="00347524">
        <w:rPr>
          <w:rFonts w:cs="Times New Roman"/>
          <w:b/>
          <w:bCs/>
          <w:lang w:val="en-GB"/>
        </w:rPr>
        <w:t>Recommendations:</w:t>
      </w:r>
    </w:p>
    <w:p w:rsidR="00BC59BC" w:rsidRPr="00347524" w:rsidRDefault="00BC59BC" w:rsidP="003C49B8">
      <w:pPr>
        <w:pStyle w:val="Listeavsnitt"/>
        <w:numPr>
          <w:ilvl w:val="0"/>
          <w:numId w:val="48"/>
        </w:numPr>
        <w:spacing w:line="240" w:lineRule="auto"/>
        <w:rPr>
          <w:lang w:val="en-GB"/>
        </w:rPr>
      </w:pPr>
      <w:r w:rsidRPr="00347524">
        <w:rPr>
          <w:lang w:val="en-GB"/>
        </w:rPr>
        <w:t>To overcome distrust due to past assimilation policies, the Government and local authorities should engage in enhanced dialogue with members of the Romani people/Taters;</w:t>
      </w:r>
    </w:p>
    <w:p w:rsidR="00BC59BC" w:rsidRPr="00347524" w:rsidRDefault="00BC59BC" w:rsidP="003C49B8">
      <w:pPr>
        <w:pStyle w:val="Listeavsnitt"/>
        <w:numPr>
          <w:ilvl w:val="0"/>
          <w:numId w:val="48"/>
        </w:numPr>
        <w:spacing w:line="240" w:lineRule="auto"/>
        <w:rPr>
          <w:rFonts w:cs="Times New Roman"/>
          <w:bCs/>
          <w:lang w:val="en-GB"/>
        </w:rPr>
      </w:pPr>
      <w:r w:rsidRPr="00347524">
        <w:rPr>
          <w:lang w:val="en-GB"/>
        </w:rPr>
        <w:t>As a priority measure, the Government should ensure that a national scheme for awarding appropriate financial compensation of past abuses is set up, in close consultation with the persons concerned.</w:t>
      </w:r>
    </w:p>
    <w:p w:rsidR="00807E9D" w:rsidRPr="00347524" w:rsidRDefault="00807E9D" w:rsidP="003C49B8">
      <w:pPr>
        <w:spacing w:after="200" w:line="240" w:lineRule="auto"/>
        <w:outlineLvl w:val="0"/>
        <w:rPr>
          <w:rFonts w:cs="Times New Roman"/>
          <w:sz w:val="24"/>
          <w:lang w:val="en-GB"/>
        </w:rPr>
      </w:pPr>
    </w:p>
    <w:p w:rsidR="00E95041" w:rsidRPr="008C5695" w:rsidRDefault="000748D3" w:rsidP="003C49B8">
      <w:pPr>
        <w:spacing w:after="200" w:line="240" w:lineRule="auto"/>
        <w:outlineLvl w:val="0"/>
        <w:rPr>
          <w:rFonts w:cs="Times New Roman"/>
          <w:b/>
          <w:color w:val="1F497D" w:themeColor="text2"/>
          <w:sz w:val="28"/>
          <w:lang w:val="en-GB"/>
        </w:rPr>
      </w:pPr>
      <w:bookmarkStart w:id="10" w:name="_Toc508351739"/>
      <w:r w:rsidRPr="008C5695">
        <w:rPr>
          <w:rFonts w:cs="Times New Roman"/>
          <w:b/>
          <w:color w:val="1F497D" w:themeColor="text2"/>
          <w:sz w:val="28"/>
          <w:lang w:val="en-GB"/>
        </w:rPr>
        <w:t>Concluding Observations paragraph 15 (</w:t>
      </w:r>
      <w:r w:rsidR="008C155D" w:rsidRPr="008C5695">
        <w:rPr>
          <w:rFonts w:cs="Times New Roman"/>
          <w:b/>
          <w:color w:val="1F497D" w:themeColor="text2"/>
          <w:sz w:val="28"/>
          <w:lang w:val="en-GB"/>
        </w:rPr>
        <w:t>Covenant</w:t>
      </w:r>
      <w:r w:rsidRPr="008C5695">
        <w:rPr>
          <w:rFonts w:cs="Times New Roman"/>
          <w:b/>
          <w:color w:val="1F497D" w:themeColor="text2"/>
          <w:sz w:val="28"/>
          <w:lang w:val="en-GB"/>
        </w:rPr>
        <w:t xml:space="preserve">/C/NOR/CO/6) Tightening of the rules </w:t>
      </w:r>
      <w:r w:rsidR="009C6870" w:rsidRPr="008C5695">
        <w:rPr>
          <w:rFonts w:cs="Times New Roman"/>
          <w:b/>
          <w:color w:val="1F497D" w:themeColor="text2"/>
          <w:sz w:val="28"/>
          <w:lang w:val="en-GB"/>
        </w:rPr>
        <w:t xml:space="preserve">related to </w:t>
      </w:r>
      <w:r w:rsidRPr="008C5695">
        <w:rPr>
          <w:rFonts w:cs="Times New Roman"/>
          <w:b/>
          <w:color w:val="1F497D" w:themeColor="text2"/>
          <w:sz w:val="28"/>
          <w:lang w:val="en-GB"/>
        </w:rPr>
        <w:t>family immigration</w:t>
      </w:r>
      <w:bookmarkEnd w:id="10"/>
    </w:p>
    <w:p w:rsidR="000748D3" w:rsidRPr="00347524" w:rsidRDefault="000748D3" w:rsidP="003C49B8">
      <w:pPr>
        <w:spacing w:line="240" w:lineRule="auto"/>
        <w:rPr>
          <w:rFonts w:cs="Times New Roman"/>
          <w:bCs/>
          <w:lang w:val="en-GB"/>
        </w:rPr>
      </w:pPr>
      <w:r w:rsidRPr="00347524">
        <w:rPr>
          <w:rFonts w:cs="Times New Roman"/>
          <w:bCs/>
          <w:lang w:val="en-GB"/>
        </w:rPr>
        <w:t xml:space="preserve">The rules for family immigration were substantially tightened in 2016-2017. Some </w:t>
      </w:r>
      <w:r w:rsidR="00E95041" w:rsidRPr="00347524">
        <w:rPr>
          <w:rFonts w:cs="Times New Roman"/>
          <w:bCs/>
          <w:lang w:val="en-GB"/>
        </w:rPr>
        <w:t xml:space="preserve">of the restrictions </w:t>
      </w:r>
      <w:r w:rsidRPr="00347524">
        <w:rPr>
          <w:rFonts w:cs="Times New Roman"/>
          <w:bCs/>
          <w:lang w:val="en-GB"/>
        </w:rPr>
        <w:t xml:space="preserve">were introduced as measures </w:t>
      </w:r>
      <w:r w:rsidR="00E95041" w:rsidRPr="00347524">
        <w:rPr>
          <w:rFonts w:cs="Times New Roman"/>
          <w:bCs/>
          <w:lang w:val="en-GB"/>
        </w:rPr>
        <w:t>to reduce forced marriages</w:t>
      </w:r>
      <w:r w:rsidRPr="00347524">
        <w:rPr>
          <w:rFonts w:cs="Times New Roman"/>
          <w:bCs/>
          <w:lang w:val="en-GB"/>
        </w:rPr>
        <w:t>; o</w:t>
      </w:r>
      <w:r w:rsidR="00E95041" w:rsidRPr="00347524">
        <w:rPr>
          <w:rFonts w:cs="Times New Roman"/>
          <w:bCs/>
          <w:lang w:val="en-GB"/>
        </w:rPr>
        <w:t xml:space="preserve">thers as efforts to make Norway less attractive for asylum </w:t>
      </w:r>
      <w:r w:rsidR="00753908" w:rsidRPr="00347524">
        <w:rPr>
          <w:rFonts w:cs="Times New Roman"/>
          <w:bCs/>
          <w:lang w:val="en-GB"/>
        </w:rPr>
        <w:t>seekers</w:t>
      </w:r>
      <w:r w:rsidR="00E95041" w:rsidRPr="00347524">
        <w:rPr>
          <w:rFonts w:cs="Times New Roman"/>
          <w:bCs/>
          <w:lang w:val="en-GB"/>
        </w:rPr>
        <w:t xml:space="preserve">, and yet others </w:t>
      </w:r>
      <w:r w:rsidR="00753908" w:rsidRPr="00347524">
        <w:rPr>
          <w:rFonts w:cs="Times New Roman"/>
          <w:bCs/>
          <w:lang w:val="en-GB"/>
        </w:rPr>
        <w:t>were</w:t>
      </w:r>
      <w:r w:rsidR="00E95041" w:rsidRPr="00347524">
        <w:rPr>
          <w:rFonts w:cs="Times New Roman"/>
          <w:bCs/>
          <w:lang w:val="en-GB"/>
        </w:rPr>
        <w:t xml:space="preserve"> described as efforts to ensure better integration.</w:t>
      </w:r>
    </w:p>
    <w:p w:rsidR="00753908" w:rsidRPr="00347524" w:rsidRDefault="00753908" w:rsidP="003C49B8">
      <w:pPr>
        <w:spacing w:line="240" w:lineRule="auto"/>
        <w:rPr>
          <w:rFonts w:cs="Times New Roman"/>
          <w:bCs/>
          <w:lang w:val="en-GB"/>
        </w:rPr>
      </w:pPr>
      <w:r w:rsidRPr="00347524">
        <w:rPr>
          <w:rFonts w:cs="Times New Roman"/>
          <w:bCs/>
          <w:lang w:val="en-GB"/>
        </w:rPr>
        <w:t>In our view, there is little documentation showing that</w:t>
      </w:r>
      <w:r w:rsidR="00E95041" w:rsidRPr="00347524">
        <w:rPr>
          <w:rFonts w:cs="Times New Roman"/>
          <w:bCs/>
          <w:lang w:val="en-GB"/>
        </w:rPr>
        <w:t xml:space="preserve"> restrict</w:t>
      </w:r>
      <w:r w:rsidRPr="00347524">
        <w:rPr>
          <w:rFonts w:cs="Times New Roman"/>
          <w:bCs/>
          <w:lang w:val="en-GB"/>
        </w:rPr>
        <w:t>ive</w:t>
      </w:r>
      <w:r w:rsidR="00E95041" w:rsidRPr="00347524">
        <w:rPr>
          <w:rFonts w:cs="Times New Roman"/>
          <w:bCs/>
          <w:lang w:val="en-GB"/>
        </w:rPr>
        <w:t xml:space="preserve"> rules for family </w:t>
      </w:r>
      <w:r w:rsidRPr="00347524">
        <w:rPr>
          <w:rFonts w:cs="Times New Roman"/>
          <w:bCs/>
          <w:lang w:val="en-GB"/>
        </w:rPr>
        <w:t>reunification</w:t>
      </w:r>
      <w:r w:rsidR="00E95041" w:rsidRPr="00347524">
        <w:rPr>
          <w:rFonts w:cs="Times New Roman"/>
          <w:bCs/>
          <w:lang w:val="en-GB"/>
        </w:rPr>
        <w:t xml:space="preserve"> lead to </w:t>
      </w:r>
      <w:r w:rsidR="00C7562A" w:rsidRPr="00347524">
        <w:rPr>
          <w:rFonts w:cs="Times New Roman"/>
          <w:bCs/>
          <w:lang w:val="en-GB"/>
        </w:rPr>
        <w:t xml:space="preserve">a reduction in </w:t>
      </w:r>
      <w:r w:rsidR="00E95041" w:rsidRPr="00347524">
        <w:rPr>
          <w:rFonts w:cs="Times New Roman"/>
          <w:bCs/>
          <w:lang w:val="en-GB"/>
        </w:rPr>
        <w:t xml:space="preserve">forced marriages and better integration. </w:t>
      </w:r>
      <w:r w:rsidRPr="00347524">
        <w:rPr>
          <w:rFonts w:cs="Times New Roman"/>
          <w:bCs/>
          <w:lang w:val="en-GB"/>
        </w:rPr>
        <w:t>There is also a concern that</w:t>
      </w:r>
      <w:r w:rsidR="009C6870" w:rsidRPr="00347524">
        <w:rPr>
          <w:rFonts w:cs="Times New Roman"/>
          <w:bCs/>
          <w:lang w:val="en-GB"/>
        </w:rPr>
        <w:t>, in specific cases, the</w:t>
      </w:r>
      <w:r w:rsidRPr="00347524">
        <w:rPr>
          <w:rFonts w:cs="Times New Roman"/>
          <w:bCs/>
          <w:lang w:val="en-GB"/>
        </w:rPr>
        <w:t xml:space="preserve"> restrictions will lead to</w:t>
      </w:r>
      <w:r w:rsidR="00E95041" w:rsidRPr="00347524">
        <w:rPr>
          <w:rFonts w:cs="Times New Roman"/>
          <w:bCs/>
          <w:lang w:val="en-GB"/>
        </w:rPr>
        <w:t xml:space="preserve"> violation</w:t>
      </w:r>
      <w:r w:rsidRPr="00347524">
        <w:rPr>
          <w:rFonts w:cs="Times New Roman"/>
          <w:bCs/>
          <w:lang w:val="en-GB"/>
        </w:rPr>
        <w:t>s</w:t>
      </w:r>
      <w:r w:rsidR="00E95041" w:rsidRPr="00347524">
        <w:rPr>
          <w:rFonts w:cs="Times New Roman"/>
          <w:bCs/>
          <w:lang w:val="en-GB"/>
        </w:rPr>
        <w:t xml:space="preserve"> of the right to family life. </w:t>
      </w:r>
      <w:r w:rsidR="00C7562A" w:rsidRPr="00347524">
        <w:rPr>
          <w:rFonts w:cs="Times New Roman"/>
          <w:bCs/>
          <w:lang w:val="en-GB"/>
        </w:rPr>
        <w:t xml:space="preserve">Furthermore, no thorough assessment has been conducting </w:t>
      </w:r>
      <w:r w:rsidR="00C61C09" w:rsidRPr="00347524">
        <w:rPr>
          <w:rFonts w:cs="Times New Roman"/>
          <w:bCs/>
          <w:lang w:val="en-GB"/>
        </w:rPr>
        <w:t>to</w:t>
      </w:r>
      <w:r w:rsidR="00C7562A" w:rsidRPr="00347524">
        <w:rPr>
          <w:rFonts w:cs="Times New Roman"/>
          <w:bCs/>
          <w:lang w:val="en-GB"/>
        </w:rPr>
        <w:t xml:space="preserve"> determine </w:t>
      </w:r>
      <w:r w:rsidR="00C61C09" w:rsidRPr="00347524">
        <w:rPr>
          <w:rFonts w:cs="Times New Roman"/>
          <w:bCs/>
          <w:lang w:val="en-GB"/>
        </w:rPr>
        <w:t>whether</w:t>
      </w:r>
      <w:r w:rsidR="00C7562A" w:rsidRPr="00347524">
        <w:rPr>
          <w:rFonts w:cs="Times New Roman"/>
          <w:bCs/>
          <w:lang w:val="en-GB"/>
        </w:rPr>
        <w:t xml:space="preserve"> the restrictions are both proportionate and necessary to achieve the stated purpose.</w:t>
      </w:r>
    </w:p>
    <w:p w:rsidR="00753908" w:rsidRPr="00347524" w:rsidRDefault="00E95041" w:rsidP="003C49B8">
      <w:pPr>
        <w:spacing w:line="240" w:lineRule="auto"/>
        <w:rPr>
          <w:rFonts w:cs="Times New Roman"/>
          <w:bCs/>
          <w:lang w:val="en-GB"/>
        </w:rPr>
      </w:pPr>
      <w:r w:rsidRPr="00347524">
        <w:rPr>
          <w:rFonts w:cs="Times New Roman"/>
          <w:bCs/>
          <w:lang w:val="en-GB"/>
        </w:rPr>
        <w:t>The</w:t>
      </w:r>
      <w:r w:rsidR="00753908" w:rsidRPr="00347524">
        <w:rPr>
          <w:rFonts w:cs="Times New Roman"/>
          <w:bCs/>
          <w:lang w:val="en-GB"/>
        </w:rPr>
        <w:t>re has neither been a thorough assessment of whether</w:t>
      </w:r>
      <w:r w:rsidRPr="00347524">
        <w:rPr>
          <w:rFonts w:cs="Times New Roman"/>
          <w:bCs/>
          <w:lang w:val="en-GB"/>
        </w:rPr>
        <w:t xml:space="preserve"> the restrictions </w:t>
      </w:r>
      <w:r w:rsidR="00753908" w:rsidRPr="00347524">
        <w:rPr>
          <w:rFonts w:cs="Times New Roman"/>
          <w:bCs/>
          <w:lang w:val="en-GB"/>
        </w:rPr>
        <w:t>follow Norway’s</w:t>
      </w:r>
      <w:r w:rsidRPr="00347524">
        <w:rPr>
          <w:rFonts w:cs="Times New Roman"/>
          <w:bCs/>
          <w:lang w:val="en-GB"/>
        </w:rPr>
        <w:t xml:space="preserve"> human rights obligations. </w:t>
      </w:r>
      <w:r w:rsidR="00753908" w:rsidRPr="00347524">
        <w:rPr>
          <w:rFonts w:cs="Times New Roman"/>
          <w:bCs/>
          <w:lang w:val="en-GB"/>
        </w:rPr>
        <w:t>Several of</w:t>
      </w:r>
      <w:r w:rsidRPr="00347524">
        <w:rPr>
          <w:rFonts w:cs="Times New Roman"/>
          <w:bCs/>
          <w:lang w:val="en-GB"/>
        </w:rPr>
        <w:t xml:space="preserve"> the </w:t>
      </w:r>
      <w:r w:rsidR="00753908" w:rsidRPr="00347524">
        <w:rPr>
          <w:rFonts w:cs="Times New Roman"/>
          <w:bCs/>
          <w:lang w:val="en-GB"/>
        </w:rPr>
        <w:t>Government proposals lacked a proper discussion of human rights compliance</w:t>
      </w:r>
      <w:r w:rsidRPr="00347524">
        <w:rPr>
          <w:rFonts w:cs="Times New Roman"/>
          <w:bCs/>
          <w:lang w:val="en-GB"/>
        </w:rPr>
        <w:t xml:space="preserve">. </w:t>
      </w:r>
    </w:p>
    <w:p w:rsidR="00E739FF" w:rsidRPr="00347524" w:rsidRDefault="00E95041" w:rsidP="003C49B8">
      <w:pPr>
        <w:spacing w:line="240" w:lineRule="auto"/>
        <w:rPr>
          <w:rFonts w:cs="Times New Roman"/>
          <w:bCs/>
          <w:lang w:val="en-GB"/>
        </w:rPr>
      </w:pPr>
      <w:r w:rsidRPr="00347524">
        <w:rPr>
          <w:rFonts w:cs="Times New Roman"/>
          <w:bCs/>
          <w:lang w:val="en-GB"/>
        </w:rPr>
        <w:t xml:space="preserve">The </w:t>
      </w:r>
      <w:r w:rsidR="00874153" w:rsidRPr="00347524">
        <w:rPr>
          <w:rFonts w:cs="Times New Roman"/>
          <w:bCs/>
          <w:lang w:val="en-GB"/>
        </w:rPr>
        <w:t>subsistence</w:t>
      </w:r>
      <w:r w:rsidRPr="00347524">
        <w:rPr>
          <w:rFonts w:cs="Times New Roman"/>
          <w:bCs/>
          <w:lang w:val="en-GB"/>
        </w:rPr>
        <w:t xml:space="preserve"> requirement was increased without </w:t>
      </w:r>
      <w:r w:rsidR="00874153" w:rsidRPr="00347524">
        <w:rPr>
          <w:rFonts w:cs="Times New Roman"/>
          <w:bCs/>
          <w:lang w:val="en-GB"/>
        </w:rPr>
        <w:t>P</w:t>
      </w:r>
      <w:r w:rsidRPr="00347524">
        <w:rPr>
          <w:rFonts w:cs="Times New Roman"/>
          <w:bCs/>
          <w:lang w:val="en-GB"/>
        </w:rPr>
        <w:t>arliament</w:t>
      </w:r>
      <w:r w:rsidR="00874153" w:rsidRPr="00347524">
        <w:rPr>
          <w:rFonts w:cs="Times New Roman"/>
          <w:bCs/>
          <w:lang w:val="en-GB"/>
        </w:rPr>
        <w:t>ary approval</w:t>
      </w:r>
      <w:r w:rsidRPr="00347524">
        <w:rPr>
          <w:rFonts w:cs="Times New Roman"/>
          <w:bCs/>
          <w:lang w:val="en-GB"/>
        </w:rPr>
        <w:t xml:space="preserve">. In June 2016, the </w:t>
      </w:r>
      <w:r w:rsidR="00874153" w:rsidRPr="00347524">
        <w:rPr>
          <w:rFonts w:cs="Times New Roman"/>
          <w:bCs/>
          <w:lang w:val="en-GB"/>
        </w:rPr>
        <w:t xml:space="preserve">majority of the </w:t>
      </w:r>
      <w:r w:rsidRPr="00347524">
        <w:rPr>
          <w:rFonts w:cs="Times New Roman"/>
          <w:bCs/>
          <w:lang w:val="en-GB"/>
        </w:rPr>
        <w:t xml:space="preserve">Parliament </w:t>
      </w:r>
      <w:r w:rsidR="00874153" w:rsidRPr="00347524">
        <w:rPr>
          <w:rFonts w:cs="Times New Roman"/>
          <w:bCs/>
          <w:lang w:val="en-GB"/>
        </w:rPr>
        <w:t>presented two petitions, one of which reduced the subsistence requirement to its previous level</w:t>
      </w:r>
      <w:r w:rsidRPr="00347524">
        <w:rPr>
          <w:rFonts w:cs="Times New Roman"/>
          <w:bCs/>
          <w:lang w:val="en-GB"/>
        </w:rPr>
        <w:t xml:space="preserve">. </w:t>
      </w:r>
      <w:r w:rsidR="00685692" w:rsidRPr="00347524">
        <w:rPr>
          <w:rFonts w:cs="Times New Roman"/>
          <w:bCs/>
          <w:lang w:val="en-GB"/>
        </w:rPr>
        <w:t>The reduction entered into force in</w:t>
      </w:r>
      <w:r w:rsidRPr="00347524">
        <w:rPr>
          <w:rFonts w:cs="Times New Roman"/>
          <w:bCs/>
          <w:lang w:val="en-GB"/>
        </w:rPr>
        <w:t xml:space="preserve"> august 2017. </w:t>
      </w:r>
      <w:r w:rsidR="00685692" w:rsidRPr="00347524">
        <w:rPr>
          <w:rFonts w:cs="Times New Roman"/>
          <w:bCs/>
          <w:lang w:val="en-GB"/>
        </w:rPr>
        <w:t>However, during a period extending more than a year,</w:t>
      </w:r>
      <w:r w:rsidRPr="00347524">
        <w:rPr>
          <w:rFonts w:cs="Times New Roman"/>
          <w:bCs/>
          <w:lang w:val="en-GB"/>
        </w:rPr>
        <w:t xml:space="preserve"> families ha</w:t>
      </w:r>
      <w:r w:rsidR="00685692" w:rsidRPr="00347524">
        <w:rPr>
          <w:rFonts w:cs="Times New Roman"/>
          <w:bCs/>
          <w:lang w:val="en-GB"/>
        </w:rPr>
        <w:t>d</w:t>
      </w:r>
      <w:r w:rsidRPr="00347524">
        <w:rPr>
          <w:rFonts w:cs="Times New Roman"/>
          <w:bCs/>
          <w:lang w:val="en-GB"/>
        </w:rPr>
        <w:t xml:space="preserve"> been </w:t>
      </w:r>
      <w:r w:rsidR="00685692" w:rsidRPr="00347524">
        <w:rPr>
          <w:rFonts w:cs="Times New Roman"/>
          <w:bCs/>
          <w:lang w:val="en-GB"/>
        </w:rPr>
        <w:t>denied</w:t>
      </w:r>
      <w:r w:rsidRPr="00347524">
        <w:rPr>
          <w:rFonts w:cs="Times New Roman"/>
          <w:bCs/>
          <w:lang w:val="en-GB"/>
        </w:rPr>
        <w:t xml:space="preserve"> family reunification due to an income requirement that was </w:t>
      </w:r>
      <w:r w:rsidR="00685692" w:rsidRPr="00347524">
        <w:rPr>
          <w:rFonts w:cs="Times New Roman"/>
          <w:bCs/>
          <w:lang w:val="en-GB"/>
        </w:rPr>
        <w:t xml:space="preserve">introduced without </w:t>
      </w:r>
      <w:r w:rsidRPr="00347524">
        <w:rPr>
          <w:rFonts w:cs="Times New Roman"/>
          <w:bCs/>
          <w:lang w:val="en-GB"/>
        </w:rPr>
        <w:t>Parliament</w:t>
      </w:r>
      <w:r w:rsidR="00685692" w:rsidRPr="00347524">
        <w:rPr>
          <w:rFonts w:cs="Times New Roman"/>
          <w:bCs/>
          <w:lang w:val="en-GB"/>
        </w:rPr>
        <w:t>ary approval.</w:t>
      </w:r>
    </w:p>
    <w:p w:rsidR="00907988" w:rsidRPr="00347524" w:rsidRDefault="00685692" w:rsidP="003C49B8">
      <w:pPr>
        <w:spacing w:line="240" w:lineRule="auto"/>
        <w:rPr>
          <w:rFonts w:cs="Times New Roman"/>
          <w:bCs/>
          <w:lang w:val="en-GB"/>
        </w:rPr>
      </w:pPr>
      <w:r w:rsidRPr="00347524">
        <w:rPr>
          <w:rFonts w:cs="Times New Roman"/>
          <w:bCs/>
          <w:lang w:val="en-GB"/>
        </w:rPr>
        <w:t xml:space="preserve">Another point of </w:t>
      </w:r>
      <w:r w:rsidR="00C7562A" w:rsidRPr="00347524">
        <w:rPr>
          <w:rFonts w:cs="Times New Roman"/>
          <w:bCs/>
          <w:lang w:val="en-GB"/>
        </w:rPr>
        <w:t>criticism</w:t>
      </w:r>
      <w:r w:rsidRPr="00347524">
        <w:rPr>
          <w:rFonts w:cs="Times New Roman"/>
          <w:bCs/>
          <w:lang w:val="en-GB"/>
        </w:rPr>
        <w:t xml:space="preserve"> was that the Government introduced a range of legislative proposals with far-reaching consequences with very short deadlines for civil society actors and other stakeholders to comment. This was in breach of previous practices.</w:t>
      </w:r>
    </w:p>
    <w:sectPr w:rsidR="00907988" w:rsidRPr="00347524" w:rsidSect="00EF6560">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46" w:rsidRDefault="00A46246" w:rsidP="00480391">
      <w:pPr>
        <w:spacing w:after="0" w:line="240" w:lineRule="auto"/>
      </w:pPr>
      <w:r>
        <w:separator/>
      </w:r>
    </w:p>
  </w:endnote>
  <w:endnote w:type="continuationSeparator" w:id="0">
    <w:p w:rsidR="00A46246" w:rsidRDefault="00A46246" w:rsidP="0048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rixOldstyle">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98560"/>
      <w:docPartObj>
        <w:docPartGallery w:val="Page Numbers (Bottom of Page)"/>
        <w:docPartUnique/>
      </w:docPartObj>
    </w:sdtPr>
    <w:sdtEndPr/>
    <w:sdtContent>
      <w:p w:rsidR="00BE3985" w:rsidRDefault="00BE3985">
        <w:pPr>
          <w:pStyle w:val="Bunntekst"/>
          <w:jc w:val="right"/>
        </w:pPr>
        <w:r>
          <w:fldChar w:fldCharType="begin"/>
        </w:r>
        <w:r>
          <w:instrText>PAGE   \* MERGEFORMAT</w:instrText>
        </w:r>
        <w:r>
          <w:fldChar w:fldCharType="separate"/>
        </w:r>
        <w:r w:rsidR="00EC692B" w:rsidRPr="00EC692B">
          <w:rPr>
            <w:noProof/>
            <w:lang w:val="nb-NO"/>
          </w:rPr>
          <w:t>2</w:t>
        </w:r>
        <w:r>
          <w:fldChar w:fldCharType="end"/>
        </w:r>
      </w:p>
    </w:sdtContent>
  </w:sdt>
  <w:p w:rsidR="00BE3985" w:rsidRPr="00480391" w:rsidRDefault="00BE398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85" w:rsidRDefault="00BE3985" w:rsidP="00EF6560">
    <w:pPr>
      <w:pStyle w:val="Bunntekst"/>
      <w:rPr>
        <w:smallCaps/>
        <w:color w:val="1F497D" w:themeColor="text2"/>
      </w:rPr>
    </w:pPr>
  </w:p>
  <w:p w:rsidR="00BE3985" w:rsidRDefault="00BE3985" w:rsidP="00EF6560">
    <w:pPr>
      <w:pStyle w:val="Bunntekst"/>
      <w:rPr>
        <w:smallCaps/>
        <w:color w:val="1F497D" w:themeColor="text2"/>
        <w:sz w:val="20"/>
      </w:rPr>
    </w:pPr>
    <w:r w:rsidRPr="00AF7982">
      <w:rPr>
        <w:smallCaps/>
        <w:color w:val="1F497D" w:themeColor="text2"/>
        <w:sz w:val="20"/>
      </w:rPr>
      <w:t xml:space="preserve">NGO Forum Secretariat contact details: Norwegian Helsinki Committee, </w:t>
    </w:r>
    <w:proofErr w:type="spellStart"/>
    <w:r w:rsidRPr="00AF7982">
      <w:rPr>
        <w:smallCaps/>
        <w:color w:val="1F497D" w:themeColor="text2"/>
        <w:sz w:val="20"/>
      </w:rPr>
      <w:t>Kirkegt</w:t>
    </w:r>
    <w:proofErr w:type="spellEnd"/>
    <w:r w:rsidRPr="00AF7982">
      <w:rPr>
        <w:smallCaps/>
        <w:color w:val="1F497D" w:themeColor="text2"/>
        <w:sz w:val="20"/>
      </w:rPr>
      <w:t>. 5, N-0153</w:t>
    </w:r>
    <w:r>
      <w:rPr>
        <w:smallCaps/>
        <w:color w:val="1F497D" w:themeColor="text2"/>
        <w:sz w:val="20"/>
      </w:rPr>
      <w:t>, Oslo, Norway</w:t>
    </w:r>
  </w:p>
  <w:p w:rsidR="00BE3985" w:rsidRPr="00AF7982" w:rsidRDefault="00BE3985" w:rsidP="00EF6560">
    <w:pPr>
      <w:pStyle w:val="Bunntekst"/>
      <w:rPr>
        <w:smallCaps/>
        <w:color w:val="1F497D" w:themeColor="text2"/>
        <w:sz w:val="20"/>
      </w:rPr>
    </w:pPr>
    <w:r w:rsidRPr="00AF7982">
      <w:rPr>
        <w:smallCaps/>
        <w:color w:val="1F497D" w:themeColor="text2"/>
        <w:sz w:val="20"/>
      </w:rPr>
      <w:t xml:space="preserve">Tel.: +47 95332235. E-mail: </w:t>
    </w:r>
    <w:hyperlink r:id="rId1" w:history="1">
      <w:r w:rsidRPr="00AF7982">
        <w:rPr>
          <w:rStyle w:val="Hyperkobling"/>
          <w:smallCaps/>
          <w:color w:val="1F497D" w:themeColor="text2"/>
          <w:sz w:val="20"/>
        </w:rPr>
        <w:t>nhc@nhc.no</w:t>
      </w:r>
    </w:hyperlink>
    <w:r w:rsidRPr="00AF7982">
      <w:rPr>
        <w:smallCaps/>
        <w:color w:val="1F497D" w:themeColor="text2"/>
        <w:sz w:val="20"/>
      </w:rPr>
      <w:t>. Contact p</w:t>
    </w:r>
    <w:r>
      <w:rPr>
        <w:smallCaps/>
        <w:color w:val="1F497D" w:themeColor="text2"/>
        <w:sz w:val="20"/>
      </w:rPr>
      <w:t>erson: Gunnar M. Ekelove-Slydal</w:t>
    </w:r>
  </w:p>
  <w:p w:rsidR="00BE3985" w:rsidRDefault="00BE3985">
    <w:pPr>
      <w:pStyle w:val="Bunntekst"/>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5DF3920B" wp14:editId="643689FC">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46" w:rsidRDefault="00A46246" w:rsidP="00480391">
      <w:pPr>
        <w:spacing w:after="0" w:line="240" w:lineRule="auto"/>
      </w:pPr>
      <w:r>
        <w:separator/>
      </w:r>
    </w:p>
  </w:footnote>
  <w:footnote w:type="continuationSeparator" w:id="0">
    <w:p w:rsidR="00A46246" w:rsidRDefault="00A46246" w:rsidP="00480391">
      <w:pPr>
        <w:spacing w:after="0" w:line="240" w:lineRule="auto"/>
      </w:pPr>
      <w:r>
        <w:continuationSeparator/>
      </w:r>
    </w:p>
  </w:footnote>
  <w:footnote w:id="1">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Several rights of the Covenant on Economic, Social and Cultural Rights were, however, not included, such as the right to a sufficient standard of living, and the right to health.</w:t>
      </w:r>
    </w:p>
  </w:footnote>
  <w:footnote w:id="2">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The quote is from the Parliament’s translation of the Norwegian Constitution into English, available at: </w:t>
      </w:r>
      <w:hyperlink r:id="rId1" w:history="1">
        <w:r w:rsidRPr="000217AF">
          <w:rPr>
            <w:rStyle w:val="Hyperkobling"/>
            <w:rFonts w:cstheme="minorHAnsi"/>
            <w:lang w:val="en-GB"/>
          </w:rPr>
          <w:t>http://bit.ly/2nMoBLD</w:t>
        </w:r>
      </w:hyperlink>
      <w:r w:rsidRPr="000217AF">
        <w:rPr>
          <w:rFonts w:cstheme="minorHAnsi"/>
          <w:lang w:val="en-GB"/>
        </w:rPr>
        <w:t xml:space="preserve"> </w:t>
      </w:r>
    </w:p>
  </w:footnote>
  <w:footnote w:id="3">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The committee is often referred to as «</w:t>
      </w:r>
      <w:proofErr w:type="spellStart"/>
      <w:r w:rsidRPr="000217AF">
        <w:rPr>
          <w:rFonts w:cstheme="minorHAnsi"/>
          <w:lang w:val="en-GB"/>
        </w:rPr>
        <w:t>Stålsett-utvalget</w:t>
      </w:r>
      <w:proofErr w:type="spellEnd"/>
      <w:r w:rsidRPr="000217AF">
        <w:rPr>
          <w:rFonts w:cstheme="minorHAnsi"/>
          <w:lang w:val="en-GB"/>
        </w:rPr>
        <w:t xml:space="preserve">». Its whitepaper, NOU 2013: 1, is available in Norwegian only at: </w:t>
      </w:r>
      <w:hyperlink r:id="rId2" w:history="1">
        <w:r w:rsidRPr="000217AF">
          <w:rPr>
            <w:rStyle w:val="Hyperkobling"/>
            <w:rFonts w:cstheme="minorHAnsi"/>
            <w:lang w:val="en-GB"/>
          </w:rPr>
          <w:t>http://bit.ly/2sgy2r9</w:t>
        </w:r>
      </w:hyperlink>
      <w:r w:rsidRPr="000217AF">
        <w:rPr>
          <w:rFonts w:cstheme="minorHAnsi"/>
          <w:lang w:val="en-GB"/>
        </w:rPr>
        <w:t xml:space="preserve"> </w:t>
      </w:r>
    </w:p>
  </w:footnote>
  <w:footnote w:id="4">
    <w:p w:rsidR="00BE3985" w:rsidRPr="000217AF" w:rsidRDefault="00BE3985" w:rsidP="000217AF">
      <w:pPr>
        <w:spacing w:after="0" w:line="240" w:lineRule="auto"/>
        <w:rPr>
          <w:rFonts w:cstheme="minorHAnsi"/>
          <w:sz w:val="20"/>
          <w:szCs w:val="20"/>
        </w:rPr>
      </w:pPr>
      <w:r w:rsidRPr="000217AF">
        <w:rPr>
          <w:rStyle w:val="Fotnotereferanse"/>
          <w:rFonts w:cstheme="minorHAnsi"/>
          <w:sz w:val="20"/>
          <w:szCs w:val="20"/>
        </w:rPr>
        <w:footnoteRef/>
      </w:r>
      <w:r w:rsidRPr="000217AF">
        <w:rPr>
          <w:rFonts w:cstheme="minorHAnsi"/>
          <w:sz w:val="20"/>
          <w:szCs w:val="20"/>
          <w:lang w:val="en-GB"/>
        </w:rPr>
        <w:t xml:space="preserve"> </w:t>
      </w:r>
      <w:r w:rsidRPr="000217AF">
        <w:rPr>
          <w:rFonts w:cstheme="minorHAnsi"/>
          <w:sz w:val="20"/>
          <w:szCs w:val="20"/>
        </w:rPr>
        <w:t xml:space="preserve">L 12, </w:t>
      </w:r>
      <w:proofErr w:type="spellStart"/>
      <w:r w:rsidRPr="000217AF">
        <w:rPr>
          <w:rFonts w:cstheme="minorHAnsi"/>
          <w:sz w:val="20"/>
          <w:szCs w:val="20"/>
        </w:rPr>
        <w:t>Innst</w:t>
      </w:r>
      <w:proofErr w:type="spellEnd"/>
      <w:r w:rsidRPr="000217AF">
        <w:rPr>
          <w:rFonts w:cstheme="minorHAnsi"/>
          <w:sz w:val="20"/>
          <w:szCs w:val="20"/>
        </w:rPr>
        <w:t xml:space="preserve">. 113L – decision 27, 11 December 2015 and L 9, </w:t>
      </w:r>
      <w:proofErr w:type="spellStart"/>
      <w:r w:rsidRPr="000217AF">
        <w:rPr>
          <w:rFonts w:cstheme="minorHAnsi"/>
          <w:sz w:val="20"/>
          <w:szCs w:val="20"/>
        </w:rPr>
        <w:t>Innst</w:t>
      </w:r>
      <w:proofErr w:type="spellEnd"/>
      <w:r w:rsidRPr="000217AF">
        <w:rPr>
          <w:rFonts w:cstheme="minorHAnsi"/>
          <w:sz w:val="20"/>
          <w:szCs w:val="20"/>
        </w:rPr>
        <w:t xml:space="preserve">. 111L – decision 30, 12 December 2016). In the case L12 it was decided that the compensatory increase in the salary of priests as they no longer would have subsidized houses, should not be compensated in the funding of other religious or belief communities. The case of L </w:t>
      </w:r>
      <w:proofErr w:type="gramStart"/>
      <w:r w:rsidRPr="000217AF">
        <w:rPr>
          <w:rFonts w:cstheme="minorHAnsi"/>
          <w:sz w:val="20"/>
          <w:szCs w:val="20"/>
        </w:rPr>
        <w:t>9,</w:t>
      </w:r>
      <w:proofErr w:type="gramEnd"/>
      <w:r w:rsidRPr="000217AF">
        <w:rPr>
          <w:rFonts w:cstheme="minorHAnsi"/>
          <w:sz w:val="20"/>
          <w:szCs w:val="20"/>
        </w:rPr>
        <w:t xml:space="preserve"> was based on similar arguments as L 12, relating to extra funding of the pensions for the priests, which was not compensated for other religious or belief communities.</w:t>
      </w:r>
    </w:p>
  </w:footnote>
  <w:footnote w:id="5">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The Government proposal as well as all comments on it is available in Norwegian only at: </w:t>
      </w:r>
      <w:hyperlink r:id="rId3" w:history="1">
        <w:r w:rsidRPr="000217AF">
          <w:rPr>
            <w:rStyle w:val="Hyperkobling"/>
            <w:rFonts w:cstheme="minorHAnsi"/>
            <w:lang w:val="en-GB"/>
          </w:rPr>
          <w:t>http://bit.ly/2lGcnmB</w:t>
        </w:r>
      </w:hyperlink>
      <w:r w:rsidRPr="000217AF">
        <w:rPr>
          <w:rFonts w:cstheme="minorHAnsi"/>
          <w:lang w:val="en-GB"/>
        </w:rPr>
        <w:t xml:space="preserve"> </w:t>
      </w:r>
    </w:p>
  </w:footnote>
  <w:footnote w:id="6">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The report is available in Norwegian at: </w:t>
      </w:r>
      <w:hyperlink r:id="rId4" w:history="1">
        <w:r w:rsidRPr="000217AF">
          <w:rPr>
            <w:rStyle w:val="Hyperkobling"/>
            <w:rFonts w:cstheme="minorHAnsi"/>
            <w:lang w:val="en-GB"/>
          </w:rPr>
          <w:t>http://bit.ly/2FL27Bh</w:t>
        </w:r>
      </w:hyperlink>
      <w:r w:rsidRPr="000217AF">
        <w:rPr>
          <w:rFonts w:cstheme="minorHAnsi"/>
          <w:lang w:val="en-GB"/>
        </w:rPr>
        <w:t xml:space="preserve"> </w:t>
      </w:r>
      <w:proofErr w:type="gramStart"/>
      <w:r w:rsidRPr="000217AF">
        <w:rPr>
          <w:rFonts w:cstheme="minorHAnsi"/>
          <w:lang w:val="en-GB"/>
        </w:rPr>
        <w:t>The</w:t>
      </w:r>
      <w:proofErr w:type="gramEnd"/>
      <w:r w:rsidRPr="000217AF">
        <w:rPr>
          <w:rFonts w:cstheme="minorHAnsi"/>
          <w:lang w:val="en-GB"/>
        </w:rPr>
        <w:t xml:space="preserve"> quotation was translated by the authors of this report.</w:t>
      </w:r>
    </w:p>
  </w:footnote>
  <w:footnote w:id="7">
    <w:p w:rsidR="00BE3985" w:rsidRPr="00E03BE5"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nb-NO"/>
        </w:rPr>
        <w:t xml:space="preserve"> Thoresen and Hjemdal, </w:t>
      </w:r>
      <w:r w:rsidRPr="000217AF">
        <w:rPr>
          <w:rFonts w:cstheme="minorHAnsi"/>
          <w:i/>
          <w:lang w:val="nb-NO"/>
        </w:rPr>
        <w:t>Vold og voldtekt i Norge</w:t>
      </w:r>
      <w:r w:rsidRPr="000217AF">
        <w:rPr>
          <w:rFonts w:cstheme="minorHAnsi"/>
          <w:lang w:val="nb-NO"/>
        </w:rPr>
        <w:t xml:space="preserve">. </w:t>
      </w:r>
      <w:r w:rsidRPr="00E03BE5">
        <w:rPr>
          <w:rFonts w:cstheme="minorHAnsi"/>
          <w:lang w:val="en-GB"/>
        </w:rPr>
        <w:t xml:space="preserve">NKVTS 2014, available at: </w:t>
      </w:r>
      <w:hyperlink r:id="rId5" w:history="1">
        <w:r w:rsidRPr="00E03BE5">
          <w:rPr>
            <w:rStyle w:val="Hyperkobling"/>
            <w:rFonts w:cstheme="minorHAnsi"/>
            <w:lang w:val="en-GB"/>
          </w:rPr>
          <w:t>http://bit.ly/2E4HyiD</w:t>
        </w:r>
      </w:hyperlink>
      <w:r w:rsidRPr="00E03BE5">
        <w:rPr>
          <w:rFonts w:cstheme="minorHAnsi"/>
          <w:lang w:val="en-GB"/>
        </w:rPr>
        <w:t xml:space="preserve"> </w:t>
      </w:r>
    </w:p>
  </w:footnote>
  <w:footnote w:id="8">
    <w:p w:rsidR="00BE3985" w:rsidRPr="00E03BE5" w:rsidRDefault="00BE3985" w:rsidP="000217AF">
      <w:pPr>
        <w:pStyle w:val="Fotnotetekst"/>
        <w:rPr>
          <w:rFonts w:cstheme="minorHAnsi"/>
          <w:lang w:val="en-GB"/>
        </w:rPr>
      </w:pPr>
      <w:r w:rsidRPr="000217AF">
        <w:rPr>
          <w:rStyle w:val="Fotnotereferanse"/>
          <w:rFonts w:cstheme="minorHAnsi"/>
        </w:rPr>
        <w:footnoteRef/>
      </w:r>
      <w:r w:rsidRPr="00E03BE5">
        <w:rPr>
          <w:rFonts w:cstheme="minorHAnsi"/>
          <w:lang w:val="en-GB"/>
        </w:rPr>
        <w:t xml:space="preserve"> Criminal Statistics 2016., available at: </w:t>
      </w:r>
      <w:hyperlink r:id="rId6" w:history="1">
        <w:r w:rsidRPr="00E03BE5">
          <w:rPr>
            <w:rStyle w:val="Hyperkobling"/>
            <w:rFonts w:cstheme="minorHAnsi"/>
            <w:lang w:val="en-GB"/>
          </w:rPr>
          <w:t>http://bit.ly/2nEWr53</w:t>
        </w:r>
      </w:hyperlink>
      <w:r w:rsidRPr="00E03BE5">
        <w:rPr>
          <w:rFonts w:cstheme="minorHAnsi"/>
          <w:lang w:val="en-GB"/>
        </w:rPr>
        <w:t xml:space="preserve"> </w:t>
      </w:r>
    </w:p>
  </w:footnote>
  <w:footnote w:id="9">
    <w:p w:rsidR="00BE3985" w:rsidRPr="000217AF"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w:t>
      </w:r>
      <w:r w:rsidR="00A46246">
        <w:fldChar w:fldCharType="begin"/>
      </w:r>
      <w:r w:rsidR="00A46246" w:rsidRPr="00347524">
        <w:rPr>
          <w:lang w:val="nb-NO"/>
        </w:rPr>
        <w:instrText xml:space="preserve"> HYPERLINK "http://bit.ly/2sf3PZD" </w:instrText>
      </w:r>
      <w:r w:rsidR="00A46246">
        <w:fldChar w:fldCharType="separate"/>
      </w:r>
      <w:r w:rsidRPr="000217AF">
        <w:rPr>
          <w:rStyle w:val="Hyperkobling"/>
          <w:rFonts w:cstheme="minorHAnsi"/>
          <w:lang w:val="nb-NO"/>
        </w:rPr>
        <w:t>http://bit.ly/2sf3PZD</w:t>
      </w:r>
      <w:r w:rsidR="00A46246">
        <w:rPr>
          <w:rStyle w:val="Hyperkobling"/>
          <w:rFonts w:cstheme="minorHAnsi"/>
          <w:lang w:val="nb-NO"/>
        </w:rPr>
        <w:fldChar w:fldCharType="end"/>
      </w:r>
      <w:r w:rsidRPr="000217AF">
        <w:rPr>
          <w:rFonts w:cstheme="minorHAnsi"/>
          <w:lang w:val="nb-NO"/>
        </w:rPr>
        <w:t xml:space="preserve"> </w:t>
      </w:r>
    </w:p>
  </w:footnote>
  <w:footnote w:id="10">
    <w:p w:rsidR="00BE3985" w:rsidRPr="000217AF"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Riksadvokaten 1/2017: Statsadvokatenes kvalitetsundersøkelse 2016 voldtekt og mishandling av nærstående. </w:t>
      </w:r>
      <w:proofErr w:type="spellStart"/>
      <w:r w:rsidRPr="000217AF">
        <w:rPr>
          <w:rFonts w:cstheme="minorHAnsi"/>
          <w:lang w:val="nb-NO"/>
        </w:rPr>
        <w:t>Available</w:t>
      </w:r>
      <w:proofErr w:type="spellEnd"/>
      <w:r w:rsidRPr="000217AF">
        <w:rPr>
          <w:rFonts w:cstheme="minorHAnsi"/>
          <w:lang w:val="nb-NO"/>
        </w:rPr>
        <w:t xml:space="preserve"> at: </w:t>
      </w:r>
      <w:r w:rsidR="00A46246">
        <w:fldChar w:fldCharType="begin"/>
      </w:r>
      <w:r w:rsidR="00A46246" w:rsidRPr="00347524">
        <w:rPr>
          <w:lang w:val="nb-NO"/>
        </w:rPr>
        <w:instrText xml:space="preserve"> HYPERLINK "http://bit.ly/2GZKDm7" </w:instrText>
      </w:r>
      <w:r w:rsidR="00A46246">
        <w:fldChar w:fldCharType="separate"/>
      </w:r>
      <w:r w:rsidRPr="000217AF">
        <w:rPr>
          <w:rStyle w:val="Hyperkobling"/>
          <w:rFonts w:cstheme="minorHAnsi"/>
          <w:lang w:val="nb-NO"/>
        </w:rPr>
        <w:t>http://bit.ly/2GZKDm7</w:t>
      </w:r>
      <w:r w:rsidR="00A46246">
        <w:rPr>
          <w:rStyle w:val="Hyperkobling"/>
          <w:rFonts w:cstheme="minorHAnsi"/>
          <w:lang w:val="nb-NO"/>
        </w:rPr>
        <w:fldChar w:fldCharType="end"/>
      </w:r>
      <w:r w:rsidRPr="000217AF">
        <w:rPr>
          <w:rFonts w:cstheme="minorHAnsi"/>
          <w:lang w:val="nb-NO"/>
        </w:rPr>
        <w:t xml:space="preserve"> </w:t>
      </w:r>
    </w:p>
  </w:footnote>
  <w:footnote w:id="11">
    <w:p w:rsidR="00BE3985" w:rsidRPr="000217AF"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Mons Bendixen Siri Helle Tor </w:t>
      </w:r>
      <w:proofErr w:type="spellStart"/>
      <w:r w:rsidRPr="000217AF">
        <w:rPr>
          <w:rFonts w:cstheme="minorHAnsi"/>
          <w:lang w:val="nb-NO"/>
        </w:rPr>
        <w:t>Langbach</w:t>
      </w:r>
      <w:proofErr w:type="spellEnd"/>
      <w:r w:rsidRPr="000217AF">
        <w:rPr>
          <w:rFonts w:cstheme="minorHAnsi"/>
          <w:lang w:val="nb-NO"/>
        </w:rPr>
        <w:t xml:space="preserve"> Kirsten Rasmussen</w:t>
      </w:r>
      <w:r w:rsidR="00AF0D09" w:rsidRPr="000217AF">
        <w:rPr>
          <w:rFonts w:cstheme="minorHAnsi"/>
          <w:lang w:val="nb-NO"/>
        </w:rPr>
        <w:t>, «</w:t>
      </w:r>
      <w:proofErr w:type="spellStart"/>
      <w:r w:rsidRPr="000217AF">
        <w:rPr>
          <w:rFonts w:cstheme="minorHAnsi"/>
          <w:lang w:val="nb-NO"/>
        </w:rPr>
        <w:t>Voldtektsmyter</w:t>
      </w:r>
      <w:proofErr w:type="spellEnd"/>
      <w:r w:rsidRPr="000217AF">
        <w:rPr>
          <w:rFonts w:cstheme="minorHAnsi"/>
          <w:lang w:val="nb-NO"/>
        </w:rPr>
        <w:t xml:space="preserve"> og kjønnssjåvinisme blant norske</w:t>
      </w:r>
      <w:r w:rsidR="00AF0D09" w:rsidRPr="000217AF">
        <w:rPr>
          <w:rFonts w:cstheme="minorHAnsi"/>
          <w:lang w:val="nb-NO"/>
        </w:rPr>
        <w:t xml:space="preserve"> </w:t>
      </w:r>
      <w:r w:rsidRPr="000217AF">
        <w:rPr>
          <w:rFonts w:cstheme="minorHAnsi"/>
          <w:lang w:val="nb-NO"/>
        </w:rPr>
        <w:t>lekdommere og fagdommere.</w:t>
      </w:r>
      <w:r w:rsidR="00AF0D09" w:rsidRPr="000217AF">
        <w:rPr>
          <w:rFonts w:cstheme="minorHAnsi"/>
          <w:lang w:val="nb-NO"/>
        </w:rPr>
        <w:t>»</w:t>
      </w:r>
      <w:r w:rsidRPr="000217AF">
        <w:rPr>
          <w:rFonts w:cstheme="minorHAnsi"/>
          <w:lang w:val="nb-NO"/>
        </w:rPr>
        <w:t xml:space="preserve"> </w:t>
      </w:r>
      <w:r w:rsidRPr="000217AF">
        <w:rPr>
          <w:rFonts w:cstheme="minorHAnsi"/>
          <w:i/>
          <w:lang w:val="nb-NO"/>
        </w:rPr>
        <w:t>Tidsskrift for Norsk Psykologforening</w:t>
      </w:r>
      <w:r w:rsidRPr="000217AF">
        <w:rPr>
          <w:rFonts w:cstheme="minorHAnsi"/>
          <w:lang w:val="nb-NO"/>
        </w:rPr>
        <w:t>. Vol 51, nummer 1</w:t>
      </w:r>
      <w:r w:rsidR="00AF0D09" w:rsidRPr="000217AF">
        <w:rPr>
          <w:rFonts w:cstheme="minorHAnsi"/>
          <w:lang w:val="nb-NO"/>
        </w:rPr>
        <w:t>,</w:t>
      </w:r>
      <w:r w:rsidRPr="000217AF">
        <w:rPr>
          <w:rFonts w:cstheme="minorHAnsi"/>
          <w:lang w:val="nb-NO"/>
        </w:rPr>
        <w:t xml:space="preserve"> 2014</w:t>
      </w:r>
      <w:r w:rsidR="00AF0D09" w:rsidRPr="000217AF">
        <w:rPr>
          <w:rFonts w:cstheme="minorHAnsi"/>
          <w:lang w:val="nb-NO"/>
        </w:rPr>
        <w:t>.</w:t>
      </w:r>
    </w:p>
  </w:footnote>
  <w:footnote w:id="12">
    <w:p w:rsidR="00BE3985" w:rsidRPr="00E03BE5"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Statement from </w:t>
      </w:r>
      <w:proofErr w:type="spellStart"/>
      <w:r w:rsidRPr="000217AF">
        <w:rPr>
          <w:rFonts w:cstheme="minorHAnsi"/>
          <w:lang w:val="nb-NO"/>
        </w:rPr>
        <w:t>researcher</w:t>
      </w:r>
      <w:proofErr w:type="spellEnd"/>
      <w:r w:rsidRPr="000217AF">
        <w:rPr>
          <w:rFonts w:cstheme="minorHAnsi"/>
          <w:lang w:val="nb-NO"/>
        </w:rPr>
        <w:t xml:space="preserve"> and former </w:t>
      </w:r>
      <w:proofErr w:type="spellStart"/>
      <w:r w:rsidRPr="000217AF">
        <w:rPr>
          <w:rFonts w:cstheme="minorHAnsi"/>
          <w:lang w:val="nb-NO"/>
        </w:rPr>
        <w:t>judge</w:t>
      </w:r>
      <w:proofErr w:type="spellEnd"/>
      <w:r w:rsidRPr="000217AF">
        <w:rPr>
          <w:rFonts w:cstheme="minorHAnsi"/>
          <w:lang w:val="nb-NO"/>
        </w:rPr>
        <w:t xml:space="preserve"> Lars Jonas Nygård. </w:t>
      </w:r>
      <w:proofErr w:type="spellStart"/>
      <w:r w:rsidRPr="00E03BE5">
        <w:rPr>
          <w:rFonts w:cstheme="minorHAnsi"/>
          <w:lang w:val="nb-NO"/>
        </w:rPr>
        <w:t>Available</w:t>
      </w:r>
      <w:proofErr w:type="spellEnd"/>
      <w:r w:rsidRPr="00E03BE5">
        <w:rPr>
          <w:rFonts w:cstheme="minorHAnsi"/>
          <w:lang w:val="nb-NO"/>
        </w:rPr>
        <w:t xml:space="preserve"> at: </w:t>
      </w:r>
      <w:r w:rsidR="00A46246">
        <w:fldChar w:fldCharType="begin"/>
      </w:r>
      <w:r w:rsidR="00A46246" w:rsidRPr="00347524">
        <w:rPr>
          <w:lang w:val="nb-NO"/>
        </w:rPr>
        <w:instrText xml:space="preserve"> HYPERLINK "http://bit.ly/2EOwbfS" </w:instrText>
      </w:r>
      <w:r w:rsidR="00A46246">
        <w:fldChar w:fldCharType="separate"/>
      </w:r>
      <w:r w:rsidRPr="00E03BE5">
        <w:rPr>
          <w:rStyle w:val="Hyperkobling"/>
          <w:rFonts w:cstheme="minorHAnsi"/>
          <w:lang w:val="nb-NO"/>
        </w:rPr>
        <w:t>http://bit.ly/2EOwbfS</w:t>
      </w:r>
      <w:r w:rsidR="00A46246">
        <w:rPr>
          <w:rStyle w:val="Hyperkobling"/>
          <w:rFonts w:cstheme="minorHAnsi"/>
          <w:lang w:val="nb-NO"/>
        </w:rPr>
        <w:fldChar w:fldCharType="end"/>
      </w:r>
      <w:r w:rsidRPr="00E03BE5">
        <w:rPr>
          <w:rFonts w:cstheme="minorHAnsi"/>
          <w:lang w:val="nb-NO"/>
        </w:rPr>
        <w:t xml:space="preserve"> </w:t>
      </w:r>
    </w:p>
  </w:footnote>
  <w:footnote w:id="13">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hyperlink r:id="rId7" w:history="1">
        <w:r w:rsidRPr="000217AF">
          <w:rPr>
            <w:rStyle w:val="Hyperkobling"/>
            <w:rFonts w:cstheme="minorHAnsi"/>
          </w:rPr>
          <w:t>http://bit.ly/2FUGKNC</w:t>
        </w:r>
      </w:hyperlink>
      <w:r w:rsidRPr="000217AF">
        <w:rPr>
          <w:rFonts w:cstheme="minorHAnsi"/>
        </w:rPr>
        <w:t xml:space="preserve"> </w:t>
      </w:r>
    </w:p>
  </w:footnote>
  <w:footnote w:id="14">
    <w:p w:rsidR="00BE3985" w:rsidRPr="00347524"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proofErr w:type="gramStart"/>
      <w:r w:rsidRPr="000217AF">
        <w:rPr>
          <w:rFonts w:cstheme="minorHAnsi"/>
        </w:rPr>
        <w:t>Concluding observations of the Committee on the Elimination of Discrimination against Women: Norway, UN Doc. CEDAW/C/NOR/CO/8, 9 March 2012, para.</w:t>
      </w:r>
      <w:proofErr w:type="gramEnd"/>
      <w:r w:rsidRPr="000217AF">
        <w:rPr>
          <w:rFonts w:cstheme="minorHAnsi"/>
        </w:rPr>
        <w:t xml:space="preserve"> </w:t>
      </w:r>
      <w:proofErr w:type="gramStart"/>
      <w:r w:rsidRPr="000217AF">
        <w:rPr>
          <w:rFonts w:cstheme="minorHAnsi"/>
        </w:rPr>
        <w:t>24(b); UN Doc. CEDAW/C/NOR/CO/9, 22 November 2017, para.</w:t>
      </w:r>
      <w:proofErr w:type="gramEnd"/>
      <w:r w:rsidRPr="000217AF">
        <w:rPr>
          <w:rFonts w:cstheme="minorHAnsi"/>
        </w:rPr>
        <w:t xml:space="preserve"> 25(f); Committee against Torture, </w:t>
      </w:r>
      <w:r w:rsidRPr="000217AF">
        <w:rPr>
          <w:rFonts w:cstheme="minorHAnsi"/>
          <w:lang w:val="en-GB"/>
        </w:rPr>
        <w:t>Concluding observations on the combined sixth and seventh periodic reports of Norway, UN Doc.</w:t>
      </w:r>
      <w:r w:rsidRPr="000217AF">
        <w:rPr>
          <w:rFonts w:cstheme="minorHAnsi"/>
        </w:rPr>
        <w:t xml:space="preserve"> CAT/C/NOR/CO/6-7, 13 December 2012, para. </w:t>
      </w:r>
      <w:r w:rsidRPr="00347524">
        <w:rPr>
          <w:rFonts w:cstheme="minorHAnsi"/>
        </w:rPr>
        <w:t>12(a).</w:t>
      </w:r>
    </w:p>
  </w:footnote>
  <w:footnote w:id="15">
    <w:p w:rsidR="00BE3985" w:rsidRPr="00347524" w:rsidRDefault="00BE3985" w:rsidP="000217AF">
      <w:pPr>
        <w:pStyle w:val="Fotnotetekst"/>
        <w:rPr>
          <w:rFonts w:cstheme="minorHAnsi"/>
        </w:rPr>
      </w:pPr>
      <w:r w:rsidRPr="000217AF">
        <w:rPr>
          <w:rStyle w:val="Fotnotereferanse"/>
          <w:rFonts w:cstheme="minorHAnsi"/>
        </w:rPr>
        <w:footnoteRef/>
      </w:r>
      <w:r w:rsidRPr="00347524">
        <w:rPr>
          <w:rFonts w:cstheme="minorHAnsi"/>
        </w:rPr>
        <w:t xml:space="preserve"> Kripos Voldtektssituasjonen i Norge (Rape in Norway) 2012, page 36. Available at: </w:t>
      </w:r>
      <w:r w:rsidR="00A46246">
        <w:fldChar w:fldCharType="begin"/>
      </w:r>
      <w:r w:rsidR="00A46246">
        <w:instrText xml:space="preserve"> HYPERLINK "http://bit.ly/2FL5Y1d" </w:instrText>
      </w:r>
      <w:r w:rsidR="00A46246">
        <w:fldChar w:fldCharType="separate"/>
      </w:r>
      <w:r w:rsidRPr="00347524">
        <w:rPr>
          <w:rStyle w:val="Hyperkobling"/>
          <w:rFonts w:cstheme="minorHAnsi"/>
        </w:rPr>
        <w:t>http://bit.ly/2FL5Y1d</w:t>
      </w:r>
      <w:r w:rsidR="00A46246">
        <w:rPr>
          <w:rStyle w:val="Hyperkobling"/>
          <w:rFonts w:cstheme="minorHAnsi"/>
          <w:lang w:val="nb-NO"/>
        </w:rPr>
        <w:fldChar w:fldCharType="end"/>
      </w:r>
    </w:p>
  </w:footnote>
  <w:footnote w:id="16">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Quotations are from the Parliamentary Ombudsman’s website, which include an English version of his </w:t>
      </w:r>
      <w:proofErr w:type="spellStart"/>
      <w:r w:rsidRPr="000217AF">
        <w:rPr>
          <w:rFonts w:cstheme="minorHAnsi"/>
        </w:rPr>
        <w:t>Norgerhaven</w:t>
      </w:r>
      <w:proofErr w:type="spellEnd"/>
      <w:r w:rsidRPr="000217AF">
        <w:rPr>
          <w:rFonts w:cstheme="minorHAnsi"/>
        </w:rPr>
        <w:t xml:space="preserve"> Prison Report, available at: </w:t>
      </w:r>
      <w:hyperlink r:id="rId8" w:history="1">
        <w:r w:rsidRPr="000217AF">
          <w:rPr>
            <w:rStyle w:val="Hyperkobling"/>
            <w:rFonts w:cstheme="minorHAnsi"/>
          </w:rPr>
          <w:t>http://bit.ly/2BGLrIy</w:t>
        </w:r>
      </w:hyperlink>
    </w:p>
  </w:footnote>
  <w:footnote w:id="17">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The Ombudsman’s prison reports are available at: </w:t>
      </w:r>
      <w:hyperlink r:id="rId9" w:history="1">
        <w:r w:rsidRPr="000217AF">
          <w:rPr>
            <w:rStyle w:val="Hyperkobling"/>
            <w:rFonts w:cstheme="minorHAnsi"/>
            <w:lang w:val="en-GB"/>
          </w:rPr>
          <w:t>http://bit.ly/2DTq7Wc</w:t>
        </w:r>
      </w:hyperlink>
      <w:r w:rsidRPr="000217AF">
        <w:rPr>
          <w:rFonts w:cstheme="minorHAnsi"/>
          <w:lang w:val="en-GB"/>
        </w:rPr>
        <w:t xml:space="preserve"> </w:t>
      </w:r>
    </w:p>
  </w:footnote>
  <w:footnote w:id="18">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w:t>
      </w:r>
      <w:hyperlink r:id="rId10" w:history="1">
        <w:r w:rsidRPr="000217AF">
          <w:rPr>
            <w:rStyle w:val="Hyperkobling"/>
            <w:rFonts w:cstheme="minorHAnsi"/>
            <w:lang w:val="en-GB"/>
          </w:rPr>
          <w:t>http://bit.ly/2DTnrbh</w:t>
        </w:r>
      </w:hyperlink>
      <w:r w:rsidRPr="000217AF">
        <w:rPr>
          <w:rFonts w:cstheme="minorHAnsi"/>
          <w:lang w:val="en-GB"/>
        </w:rPr>
        <w:t xml:space="preserve"> </w:t>
      </w:r>
    </w:p>
  </w:footnote>
  <w:footnote w:id="19">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proofErr w:type="gramStart"/>
      <w:r w:rsidRPr="000217AF">
        <w:rPr>
          <w:rFonts w:cstheme="minorHAnsi"/>
        </w:rPr>
        <w:t>Covenant/C/NOR/6 and addition to the report (Covenant/C/NOR/Q/add. 1).</w:t>
      </w:r>
      <w:proofErr w:type="gramEnd"/>
    </w:p>
  </w:footnote>
  <w:footnote w:id="20">
    <w:p w:rsidR="00BE3985" w:rsidRPr="000217AF" w:rsidRDefault="00BE3985" w:rsidP="000217AF">
      <w:pPr>
        <w:widowControl w:val="0"/>
        <w:autoSpaceDE w:val="0"/>
        <w:autoSpaceDN w:val="0"/>
        <w:adjustRightInd w:val="0"/>
        <w:spacing w:after="0" w:line="240" w:lineRule="auto"/>
        <w:rPr>
          <w:rFonts w:cstheme="minorHAnsi"/>
          <w:color w:val="000000"/>
          <w:sz w:val="20"/>
          <w:szCs w:val="20"/>
        </w:rPr>
      </w:pPr>
      <w:r w:rsidRPr="000217AF">
        <w:rPr>
          <w:rStyle w:val="Fotnotereferanse"/>
          <w:rFonts w:cstheme="minorHAnsi"/>
          <w:sz w:val="20"/>
          <w:szCs w:val="20"/>
        </w:rPr>
        <w:footnoteRef/>
      </w:r>
      <w:r w:rsidRPr="000217AF">
        <w:rPr>
          <w:rFonts w:cstheme="minorHAnsi"/>
          <w:sz w:val="20"/>
          <w:szCs w:val="20"/>
        </w:rPr>
        <w:t xml:space="preserve"> </w:t>
      </w:r>
      <w:proofErr w:type="gramStart"/>
      <w:r w:rsidRPr="000217AF">
        <w:rPr>
          <w:rFonts w:cstheme="minorHAnsi"/>
          <w:bCs/>
          <w:color w:val="000000"/>
          <w:sz w:val="20"/>
          <w:szCs w:val="20"/>
        </w:rPr>
        <w:t xml:space="preserve">Norway’s seventh periodic report to the Human Rights Committee, </w:t>
      </w:r>
      <w:r w:rsidRPr="000217AF">
        <w:rPr>
          <w:rFonts w:cstheme="minorHAnsi"/>
          <w:sz w:val="20"/>
          <w:szCs w:val="20"/>
        </w:rPr>
        <w:t>paragraph 138.</w:t>
      </w:r>
      <w:proofErr w:type="gramEnd"/>
    </w:p>
  </w:footnote>
  <w:footnote w:id="21">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proofErr w:type="gramStart"/>
      <w:r w:rsidRPr="000217AF">
        <w:rPr>
          <w:rFonts w:cstheme="minorHAnsi"/>
        </w:rPr>
        <w:t>Concluding Observations of the Human Rights Committee, Norway, 2011, paragraph 6.</w:t>
      </w:r>
      <w:proofErr w:type="gramEnd"/>
    </w:p>
  </w:footnote>
  <w:footnote w:id="22">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See ECtHR, </w:t>
      </w:r>
      <w:proofErr w:type="spellStart"/>
      <w:r w:rsidRPr="000217AF">
        <w:rPr>
          <w:rFonts w:cstheme="minorHAnsi"/>
        </w:rPr>
        <w:t>Kreuz</w:t>
      </w:r>
      <w:proofErr w:type="spellEnd"/>
      <w:r w:rsidRPr="000217AF">
        <w:rPr>
          <w:rFonts w:cstheme="minorHAnsi"/>
        </w:rPr>
        <w:t xml:space="preserve"> v. Poland, available at: </w:t>
      </w:r>
      <w:hyperlink r:id="rId11" w:history="1">
        <w:r w:rsidRPr="000217AF">
          <w:rPr>
            <w:rStyle w:val="Hyperkobling"/>
            <w:rFonts w:cstheme="minorHAnsi"/>
            <w:lang w:val="en-GB"/>
          </w:rPr>
          <w:t>http://bit.ly/2E4VGeV</w:t>
        </w:r>
      </w:hyperlink>
      <w:r w:rsidRPr="000217AF">
        <w:rPr>
          <w:rFonts w:cstheme="minorHAnsi"/>
          <w:lang w:val="en-GB"/>
        </w:rPr>
        <w:t xml:space="preserve"> </w:t>
      </w:r>
    </w:p>
  </w:footnote>
  <w:footnote w:id="23">
    <w:p w:rsidR="00BE3985" w:rsidRPr="00E03BE5" w:rsidRDefault="00BE3985" w:rsidP="000217AF">
      <w:pPr>
        <w:pStyle w:val="Fotnotetekst"/>
        <w:rPr>
          <w:rFonts w:cstheme="minorHAnsi"/>
          <w:lang w:val="en-GB"/>
        </w:rPr>
      </w:pPr>
      <w:r w:rsidRPr="000217AF">
        <w:rPr>
          <w:rStyle w:val="Fotnotereferanse"/>
          <w:rFonts w:cstheme="minorHAnsi"/>
        </w:rPr>
        <w:footnoteRef/>
      </w:r>
      <w:r w:rsidRPr="00E03BE5">
        <w:rPr>
          <w:rFonts w:cstheme="minorHAnsi"/>
          <w:lang w:val="en-GB"/>
        </w:rPr>
        <w:t xml:space="preserve"> </w:t>
      </w:r>
      <w:proofErr w:type="spellStart"/>
      <w:r w:rsidRPr="00E03BE5">
        <w:rPr>
          <w:rFonts w:cstheme="minorHAnsi"/>
          <w:lang w:val="en-GB"/>
        </w:rPr>
        <w:t>Justis</w:t>
      </w:r>
      <w:proofErr w:type="spellEnd"/>
      <w:r w:rsidRPr="00E03BE5">
        <w:rPr>
          <w:rFonts w:cstheme="minorHAnsi"/>
          <w:lang w:val="en-GB"/>
        </w:rPr>
        <w:t xml:space="preserve">- </w:t>
      </w:r>
      <w:proofErr w:type="spellStart"/>
      <w:r w:rsidRPr="00E03BE5">
        <w:rPr>
          <w:rFonts w:cstheme="minorHAnsi"/>
          <w:lang w:val="en-GB"/>
        </w:rPr>
        <w:t>og</w:t>
      </w:r>
      <w:proofErr w:type="spellEnd"/>
      <w:r w:rsidRPr="00E03BE5">
        <w:rPr>
          <w:rFonts w:cstheme="minorHAnsi"/>
          <w:lang w:val="en-GB"/>
        </w:rPr>
        <w:t xml:space="preserve"> </w:t>
      </w:r>
      <w:proofErr w:type="spellStart"/>
      <w:r w:rsidRPr="00E03BE5">
        <w:rPr>
          <w:rFonts w:cstheme="minorHAnsi"/>
          <w:lang w:val="en-GB"/>
        </w:rPr>
        <w:t>beredskapsdepartementet</w:t>
      </w:r>
      <w:proofErr w:type="spellEnd"/>
      <w:r w:rsidRPr="00E03BE5">
        <w:rPr>
          <w:rFonts w:cstheme="minorHAnsi"/>
          <w:lang w:val="en-GB"/>
        </w:rPr>
        <w:t xml:space="preserve">, </w:t>
      </w:r>
      <w:proofErr w:type="spellStart"/>
      <w:r w:rsidRPr="00E03BE5">
        <w:rPr>
          <w:rFonts w:cstheme="minorHAnsi"/>
          <w:i/>
          <w:lang w:val="en-GB"/>
        </w:rPr>
        <w:t>Høyringsnotat</w:t>
      </w:r>
      <w:proofErr w:type="spellEnd"/>
      <w:r w:rsidRPr="00E03BE5">
        <w:rPr>
          <w:rFonts w:cstheme="minorHAnsi"/>
          <w:i/>
          <w:lang w:val="en-GB"/>
        </w:rPr>
        <w:t xml:space="preserve"> om </w:t>
      </w:r>
      <w:proofErr w:type="spellStart"/>
      <w:r w:rsidRPr="00E03BE5">
        <w:rPr>
          <w:rFonts w:cstheme="minorHAnsi"/>
          <w:i/>
          <w:lang w:val="en-GB"/>
        </w:rPr>
        <w:t>ny</w:t>
      </w:r>
      <w:proofErr w:type="spellEnd"/>
      <w:r w:rsidRPr="00E03BE5">
        <w:rPr>
          <w:rFonts w:cstheme="minorHAnsi"/>
          <w:i/>
          <w:lang w:val="en-GB"/>
        </w:rPr>
        <w:t xml:space="preserve"> </w:t>
      </w:r>
      <w:proofErr w:type="spellStart"/>
      <w:r w:rsidRPr="00E03BE5">
        <w:rPr>
          <w:rFonts w:cstheme="minorHAnsi"/>
          <w:i/>
          <w:lang w:val="en-GB"/>
        </w:rPr>
        <w:t>heimel</w:t>
      </w:r>
      <w:proofErr w:type="spellEnd"/>
      <w:r w:rsidRPr="00E03BE5">
        <w:rPr>
          <w:rFonts w:cstheme="minorHAnsi"/>
          <w:i/>
          <w:lang w:val="en-GB"/>
        </w:rPr>
        <w:t xml:space="preserve"> for </w:t>
      </w:r>
      <w:proofErr w:type="spellStart"/>
      <w:r w:rsidRPr="00E03BE5">
        <w:rPr>
          <w:rFonts w:cstheme="minorHAnsi"/>
          <w:i/>
          <w:lang w:val="en-GB"/>
        </w:rPr>
        <w:t>pågriping</w:t>
      </w:r>
      <w:proofErr w:type="spellEnd"/>
      <w:r w:rsidRPr="00E03BE5">
        <w:rPr>
          <w:rFonts w:cstheme="minorHAnsi"/>
          <w:i/>
          <w:lang w:val="en-GB"/>
        </w:rPr>
        <w:t xml:space="preserve"> </w:t>
      </w:r>
      <w:proofErr w:type="spellStart"/>
      <w:r w:rsidRPr="00E03BE5">
        <w:rPr>
          <w:rFonts w:cstheme="minorHAnsi"/>
          <w:i/>
          <w:lang w:val="en-GB"/>
        </w:rPr>
        <w:t>og</w:t>
      </w:r>
      <w:proofErr w:type="spellEnd"/>
      <w:r w:rsidRPr="00E03BE5">
        <w:rPr>
          <w:rFonts w:cstheme="minorHAnsi"/>
          <w:i/>
          <w:lang w:val="en-GB"/>
        </w:rPr>
        <w:t xml:space="preserve"> </w:t>
      </w:r>
      <w:proofErr w:type="spellStart"/>
      <w:r w:rsidRPr="00E03BE5">
        <w:rPr>
          <w:rFonts w:cstheme="minorHAnsi"/>
          <w:i/>
          <w:lang w:val="en-GB"/>
        </w:rPr>
        <w:t>fengsling</w:t>
      </w:r>
      <w:proofErr w:type="spellEnd"/>
      <w:r w:rsidRPr="00E03BE5">
        <w:rPr>
          <w:rFonts w:cstheme="minorHAnsi"/>
          <w:i/>
          <w:lang w:val="en-GB"/>
        </w:rPr>
        <w:t xml:space="preserve"> </w:t>
      </w:r>
      <w:proofErr w:type="spellStart"/>
      <w:r w:rsidRPr="00E03BE5">
        <w:rPr>
          <w:rFonts w:cstheme="minorHAnsi"/>
          <w:i/>
          <w:lang w:val="en-GB"/>
        </w:rPr>
        <w:t>i</w:t>
      </w:r>
      <w:proofErr w:type="spellEnd"/>
      <w:r w:rsidRPr="00E03BE5">
        <w:rPr>
          <w:rFonts w:cstheme="minorHAnsi"/>
          <w:i/>
          <w:lang w:val="en-GB"/>
        </w:rPr>
        <w:t xml:space="preserve"> </w:t>
      </w:r>
      <w:proofErr w:type="spellStart"/>
      <w:r w:rsidRPr="00E03BE5">
        <w:rPr>
          <w:rFonts w:cstheme="minorHAnsi"/>
          <w:i/>
          <w:lang w:val="en-GB"/>
        </w:rPr>
        <w:t>samband</w:t>
      </w:r>
      <w:proofErr w:type="spellEnd"/>
      <w:r w:rsidRPr="00E03BE5">
        <w:rPr>
          <w:rFonts w:cstheme="minorHAnsi"/>
          <w:i/>
          <w:lang w:val="en-GB"/>
        </w:rPr>
        <w:t xml:space="preserve"> med 48-timarprosedyren for </w:t>
      </w:r>
      <w:proofErr w:type="spellStart"/>
      <w:r w:rsidRPr="00E03BE5">
        <w:rPr>
          <w:rFonts w:cstheme="minorHAnsi"/>
          <w:i/>
          <w:lang w:val="en-GB"/>
        </w:rPr>
        <w:t>openbert</w:t>
      </w:r>
      <w:proofErr w:type="spellEnd"/>
      <w:r w:rsidRPr="00E03BE5">
        <w:rPr>
          <w:rFonts w:cstheme="minorHAnsi"/>
          <w:i/>
          <w:lang w:val="en-GB"/>
        </w:rPr>
        <w:t xml:space="preserve"> </w:t>
      </w:r>
      <w:proofErr w:type="spellStart"/>
      <w:r w:rsidRPr="00E03BE5">
        <w:rPr>
          <w:rFonts w:cstheme="minorHAnsi"/>
          <w:i/>
          <w:lang w:val="en-GB"/>
        </w:rPr>
        <w:t>grunnlause</w:t>
      </w:r>
      <w:proofErr w:type="spellEnd"/>
      <w:r w:rsidRPr="00E03BE5">
        <w:rPr>
          <w:rFonts w:cstheme="minorHAnsi"/>
          <w:i/>
          <w:lang w:val="en-GB"/>
        </w:rPr>
        <w:t xml:space="preserve"> </w:t>
      </w:r>
      <w:proofErr w:type="spellStart"/>
      <w:r w:rsidRPr="00E03BE5">
        <w:rPr>
          <w:rFonts w:cstheme="minorHAnsi"/>
          <w:i/>
          <w:lang w:val="en-GB"/>
        </w:rPr>
        <w:t>asylsøknader</w:t>
      </w:r>
      <w:proofErr w:type="spellEnd"/>
      <w:r w:rsidRPr="00E03BE5">
        <w:rPr>
          <w:rFonts w:cstheme="minorHAnsi"/>
          <w:lang w:val="en-GB"/>
        </w:rPr>
        <w:t>, 3 July 2015, p. 10, available at: http://bit.ly/2BFRux5</w:t>
      </w:r>
    </w:p>
  </w:footnote>
  <w:footnote w:id="24">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w:t>
      </w:r>
      <w:proofErr w:type="spellStart"/>
      <w:proofErr w:type="gramStart"/>
      <w:r w:rsidRPr="000217AF">
        <w:rPr>
          <w:rFonts w:cstheme="minorHAnsi"/>
          <w:i/>
          <w:lang w:val="en-GB"/>
        </w:rPr>
        <w:t>Saadi</w:t>
      </w:r>
      <w:proofErr w:type="spellEnd"/>
      <w:r w:rsidRPr="000217AF">
        <w:rPr>
          <w:rFonts w:cstheme="minorHAnsi"/>
          <w:i/>
          <w:lang w:val="en-GB"/>
        </w:rPr>
        <w:t xml:space="preserve"> v. United Kingdom [GC]</w:t>
      </w:r>
      <w:r w:rsidRPr="000217AF">
        <w:rPr>
          <w:rFonts w:cstheme="minorHAnsi"/>
          <w:lang w:val="en-GB"/>
        </w:rPr>
        <w:t>, ECtHR, App. No. 13229/03, paras.</w:t>
      </w:r>
      <w:proofErr w:type="gramEnd"/>
      <w:r w:rsidRPr="000217AF">
        <w:rPr>
          <w:rFonts w:cstheme="minorHAnsi"/>
          <w:lang w:val="en-GB"/>
        </w:rPr>
        <w:t xml:space="preserve"> 72-74, available at: </w:t>
      </w:r>
      <w:hyperlink r:id="rId12" w:history="1">
        <w:r w:rsidRPr="000217AF">
          <w:rPr>
            <w:rStyle w:val="Hyperkobling"/>
            <w:rFonts w:cstheme="minorHAnsi"/>
            <w:lang w:val="en-GB"/>
          </w:rPr>
          <w:t>http://bit.ly/2FxySSa</w:t>
        </w:r>
      </w:hyperlink>
      <w:r w:rsidRPr="000217AF">
        <w:rPr>
          <w:rFonts w:cstheme="minorHAnsi"/>
          <w:lang w:val="en-GB"/>
        </w:rPr>
        <w:t xml:space="preserve"> Cf. Joint Partly Dissenting Opinion of Judges </w:t>
      </w:r>
      <w:proofErr w:type="spellStart"/>
      <w:r w:rsidRPr="000217AF">
        <w:rPr>
          <w:rFonts w:cstheme="minorHAnsi"/>
          <w:lang w:val="en-GB"/>
        </w:rPr>
        <w:t>Rozakis</w:t>
      </w:r>
      <w:proofErr w:type="spellEnd"/>
      <w:r w:rsidRPr="000217AF">
        <w:rPr>
          <w:rFonts w:cstheme="minorHAnsi"/>
          <w:lang w:val="en-GB"/>
        </w:rPr>
        <w:t xml:space="preserve">, </w:t>
      </w:r>
      <w:proofErr w:type="spellStart"/>
      <w:r w:rsidRPr="000217AF">
        <w:rPr>
          <w:rFonts w:cstheme="minorHAnsi"/>
          <w:lang w:val="en-GB"/>
        </w:rPr>
        <w:t>Tulkens</w:t>
      </w:r>
      <w:proofErr w:type="spellEnd"/>
      <w:r w:rsidRPr="000217AF">
        <w:rPr>
          <w:rFonts w:cstheme="minorHAnsi"/>
          <w:lang w:val="en-GB"/>
        </w:rPr>
        <w:t xml:space="preserve">, </w:t>
      </w:r>
      <w:proofErr w:type="spellStart"/>
      <w:r w:rsidRPr="000217AF">
        <w:rPr>
          <w:rFonts w:cstheme="minorHAnsi"/>
          <w:lang w:val="en-GB"/>
        </w:rPr>
        <w:t>Kovler</w:t>
      </w:r>
      <w:proofErr w:type="spellEnd"/>
      <w:r w:rsidRPr="000217AF">
        <w:rPr>
          <w:rFonts w:cstheme="minorHAnsi"/>
          <w:lang w:val="en-GB"/>
        </w:rPr>
        <w:t xml:space="preserve">, </w:t>
      </w:r>
      <w:proofErr w:type="spellStart"/>
      <w:r w:rsidRPr="000217AF">
        <w:rPr>
          <w:rFonts w:cstheme="minorHAnsi"/>
          <w:lang w:val="en-GB"/>
        </w:rPr>
        <w:t>Haijyev</w:t>
      </w:r>
      <w:proofErr w:type="spellEnd"/>
      <w:r w:rsidRPr="000217AF">
        <w:rPr>
          <w:rFonts w:cstheme="minorHAnsi"/>
          <w:lang w:val="en-GB"/>
        </w:rPr>
        <w:t xml:space="preserve">, </w:t>
      </w:r>
      <w:proofErr w:type="spellStart"/>
      <w:r w:rsidRPr="000217AF">
        <w:rPr>
          <w:rFonts w:cstheme="minorHAnsi"/>
          <w:lang w:val="en-GB"/>
        </w:rPr>
        <w:t>Spielmann</w:t>
      </w:r>
      <w:proofErr w:type="spellEnd"/>
      <w:r w:rsidRPr="000217AF">
        <w:rPr>
          <w:rFonts w:cstheme="minorHAnsi"/>
          <w:lang w:val="en-GB"/>
        </w:rPr>
        <w:t xml:space="preserve"> </w:t>
      </w:r>
      <w:proofErr w:type="spellStart"/>
      <w:proofErr w:type="gramStart"/>
      <w:r w:rsidRPr="000217AF">
        <w:rPr>
          <w:rFonts w:cstheme="minorHAnsi"/>
          <w:lang w:val="en-GB"/>
        </w:rPr>
        <w:t>og</w:t>
      </w:r>
      <w:proofErr w:type="spellEnd"/>
      <w:proofErr w:type="gramEnd"/>
      <w:r w:rsidRPr="000217AF">
        <w:rPr>
          <w:rFonts w:cstheme="minorHAnsi"/>
          <w:lang w:val="en-GB"/>
        </w:rPr>
        <w:t xml:space="preserve"> </w:t>
      </w:r>
      <w:proofErr w:type="spellStart"/>
      <w:r w:rsidRPr="000217AF">
        <w:rPr>
          <w:rFonts w:cstheme="minorHAnsi"/>
          <w:lang w:val="en-GB"/>
        </w:rPr>
        <w:t>Hirvelä</w:t>
      </w:r>
      <w:proofErr w:type="spellEnd"/>
      <w:r w:rsidRPr="000217AF">
        <w:rPr>
          <w:rFonts w:cstheme="minorHAnsi"/>
          <w:lang w:val="en-GB"/>
        </w:rPr>
        <w:t xml:space="preserve"> in the same case.</w:t>
      </w:r>
    </w:p>
  </w:footnote>
  <w:footnote w:id="25">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r w:rsidRPr="000217AF">
        <w:rPr>
          <w:rFonts w:cstheme="minorHAnsi"/>
          <w:lang w:val="en-GB"/>
        </w:rPr>
        <w:t xml:space="preserve">See e.g.: A. v. </w:t>
      </w:r>
      <w:proofErr w:type="spellStart"/>
      <w:r w:rsidRPr="000217AF">
        <w:rPr>
          <w:rFonts w:cstheme="minorHAnsi"/>
          <w:lang w:val="en-GB"/>
        </w:rPr>
        <w:t>Asutralia</w:t>
      </w:r>
      <w:proofErr w:type="spellEnd"/>
      <w:r w:rsidRPr="000217AF">
        <w:rPr>
          <w:rFonts w:cstheme="minorHAnsi"/>
          <w:lang w:val="en-GB"/>
        </w:rPr>
        <w:t xml:space="preserve">, CCPR/C/59/D/560/1993, UN Human Rights Committee (HRC), 3 April 1997, para. 9.2, available at: </w:t>
      </w:r>
      <w:hyperlink r:id="rId13" w:history="1">
        <w:r w:rsidRPr="000217AF">
          <w:rPr>
            <w:rStyle w:val="Hyperkobling"/>
            <w:rFonts w:cstheme="minorHAnsi"/>
            <w:lang w:val="en-GB"/>
          </w:rPr>
          <w:t>http://bit.ly/2nZIM86</w:t>
        </w:r>
      </w:hyperlink>
      <w:r w:rsidRPr="000217AF">
        <w:rPr>
          <w:rFonts w:cstheme="minorHAnsi"/>
          <w:lang w:val="en-GB"/>
        </w:rPr>
        <w:t xml:space="preserve"> </w:t>
      </w:r>
    </w:p>
  </w:footnote>
  <w:footnote w:id="26">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w:t>
      </w:r>
      <w:proofErr w:type="gramStart"/>
      <w:r w:rsidRPr="000217AF">
        <w:rPr>
          <w:rFonts w:cstheme="minorHAnsi"/>
          <w:i/>
          <w:lang w:val="en-GB"/>
        </w:rPr>
        <w:t>Van Alphen v. the Netherlands</w:t>
      </w:r>
      <w:r w:rsidRPr="000217AF">
        <w:rPr>
          <w:rFonts w:cstheme="minorHAnsi"/>
          <w:lang w:val="en-GB"/>
        </w:rPr>
        <w:t xml:space="preserve"> (Communication No. 305/1988), Covenant/C/39/D/305/1988, UN Human Rights Committee (HRC), 23 July 1990, para.</w:t>
      </w:r>
      <w:proofErr w:type="gramEnd"/>
      <w:r w:rsidRPr="000217AF">
        <w:rPr>
          <w:rFonts w:cstheme="minorHAnsi"/>
          <w:lang w:val="en-GB"/>
        </w:rPr>
        <w:t xml:space="preserve"> 5.8., available at: </w:t>
      </w:r>
      <w:hyperlink r:id="rId14" w:history="1">
        <w:r w:rsidRPr="000217AF">
          <w:rPr>
            <w:rStyle w:val="Hyperkobling"/>
            <w:rFonts w:cstheme="minorHAnsi"/>
            <w:lang w:val="en-GB"/>
          </w:rPr>
          <w:t>http://bit.ly/2jjsy9b</w:t>
        </w:r>
      </w:hyperlink>
      <w:r w:rsidRPr="000217AF">
        <w:rPr>
          <w:rFonts w:cstheme="minorHAnsi"/>
          <w:lang w:val="en-GB"/>
        </w:rPr>
        <w:t xml:space="preserve"> </w:t>
      </w:r>
    </w:p>
  </w:footnote>
  <w:footnote w:id="27">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For Government’s justification of Section 106(1)(g) see: Prop.16 L (2015–2016), pp. 18-19, available at: </w:t>
      </w:r>
      <w:hyperlink r:id="rId15" w:history="1">
        <w:r w:rsidRPr="000217AF">
          <w:rPr>
            <w:rStyle w:val="Hyperkobling"/>
            <w:rFonts w:cstheme="minorHAnsi"/>
            <w:lang w:val="en-GB"/>
          </w:rPr>
          <w:t>http://bit.ly/2Gvar9b</w:t>
        </w:r>
      </w:hyperlink>
      <w:r w:rsidRPr="000217AF">
        <w:rPr>
          <w:rFonts w:cstheme="minorHAnsi"/>
          <w:lang w:val="en-GB"/>
        </w:rPr>
        <w:t xml:space="preserve"> For Gover</w:t>
      </w:r>
      <w:r w:rsidR="00412E38" w:rsidRPr="000217AF">
        <w:rPr>
          <w:rFonts w:cstheme="minorHAnsi"/>
          <w:lang w:val="en-GB"/>
        </w:rPr>
        <w:t>n</w:t>
      </w:r>
      <w:r w:rsidRPr="000217AF">
        <w:rPr>
          <w:rFonts w:cstheme="minorHAnsi"/>
          <w:lang w:val="en-GB"/>
        </w:rPr>
        <w:t xml:space="preserve">ment’s justification of Section 106(1)(h) see: </w:t>
      </w:r>
      <w:proofErr w:type="spellStart"/>
      <w:r w:rsidRPr="000217AF">
        <w:rPr>
          <w:rFonts w:cstheme="minorHAnsi"/>
          <w:i/>
          <w:lang w:val="en-GB"/>
        </w:rPr>
        <w:t>Justis</w:t>
      </w:r>
      <w:proofErr w:type="spellEnd"/>
      <w:r w:rsidRPr="000217AF">
        <w:rPr>
          <w:rFonts w:cstheme="minorHAnsi"/>
          <w:i/>
          <w:lang w:val="en-GB"/>
        </w:rPr>
        <w:t xml:space="preserve">- </w:t>
      </w:r>
      <w:proofErr w:type="spellStart"/>
      <w:r w:rsidRPr="000217AF">
        <w:rPr>
          <w:rFonts w:cstheme="minorHAnsi"/>
          <w:i/>
          <w:lang w:val="en-GB"/>
        </w:rPr>
        <w:t>og</w:t>
      </w:r>
      <w:proofErr w:type="spellEnd"/>
      <w:r w:rsidRPr="000217AF">
        <w:rPr>
          <w:rFonts w:cstheme="minorHAnsi"/>
          <w:i/>
          <w:lang w:val="en-GB"/>
        </w:rPr>
        <w:t xml:space="preserve"> </w:t>
      </w:r>
      <w:proofErr w:type="spellStart"/>
      <w:r w:rsidRPr="000217AF">
        <w:rPr>
          <w:rFonts w:cstheme="minorHAnsi"/>
          <w:i/>
          <w:lang w:val="en-GB"/>
        </w:rPr>
        <w:t>beredskapsdepartementet</w:t>
      </w:r>
      <w:proofErr w:type="spellEnd"/>
      <w:r w:rsidRPr="000217AF">
        <w:rPr>
          <w:rFonts w:cstheme="minorHAnsi"/>
          <w:i/>
          <w:lang w:val="en-GB"/>
        </w:rPr>
        <w:t xml:space="preserve">, </w:t>
      </w:r>
      <w:proofErr w:type="spellStart"/>
      <w:r w:rsidRPr="000217AF">
        <w:rPr>
          <w:rFonts w:cstheme="minorHAnsi"/>
          <w:i/>
          <w:lang w:val="en-GB"/>
        </w:rPr>
        <w:t>Høyringsnotat</w:t>
      </w:r>
      <w:proofErr w:type="spellEnd"/>
      <w:r w:rsidRPr="000217AF">
        <w:rPr>
          <w:rFonts w:cstheme="minorHAnsi"/>
          <w:i/>
          <w:lang w:val="en-GB"/>
        </w:rPr>
        <w:t xml:space="preserve"> om </w:t>
      </w:r>
      <w:proofErr w:type="spellStart"/>
      <w:r w:rsidRPr="000217AF">
        <w:rPr>
          <w:rFonts w:cstheme="minorHAnsi"/>
          <w:i/>
          <w:lang w:val="en-GB"/>
        </w:rPr>
        <w:t>ny</w:t>
      </w:r>
      <w:proofErr w:type="spellEnd"/>
      <w:r w:rsidRPr="000217AF">
        <w:rPr>
          <w:rFonts w:cstheme="minorHAnsi"/>
          <w:i/>
          <w:lang w:val="en-GB"/>
        </w:rPr>
        <w:t xml:space="preserve"> </w:t>
      </w:r>
      <w:proofErr w:type="spellStart"/>
      <w:r w:rsidRPr="000217AF">
        <w:rPr>
          <w:rFonts w:cstheme="minorHAnsi"/>
          <w:i/>
          <w:lang w:val="en-GB"/>
        </w:rPr>
        <w:t>heimel</w:t>
      </w:r>
      <w:proofErr w:type="spellEnd"/>
      <w:r w:rsidRPr="000217AF">
        <w:rPr>
          <w:rFonts w:cstheme="minorHAnsi"/>
          <w:i/>
          <w:lang w:val="en-GB"/>
        </w:rPr>
        <w:t xml:space="preserve"> for </w:t>
      </w:r>
      <w:proofErr w:type="spellStart"/>
      <w:r w:rsidRPr="000217AF">
        <w:rPr>
          <w:rFonts w:cstheme="minorHAnsi"/>
          <w:i/>
          <w:lang w:val="en-GB"/>
        </w:rPr>
        <w:t>pågriping</w:t>
      </w:r>
      <w:proofErr w:type="spellEnd"/>
      <w:r w:rsidRPr="000217AF">
        <w:rPr>
          <w:rFonts w:cstheme="minorHAnsi"/>
          <w:i/>
          <w:lang w:val="en-GB"/>
        </w:rPr>
        <w:t xml:space="preserve"> </w:t>
      </w:r>
      <w:proofErr w:type="spellStart"/>
      <w:r w:rsidRPr="000217AF">
        <w:rPr>
          <w:rFonts w:cstheme="minorHAnsi"/>
          <w:i/>
          <w:lang w:val="en-GB"/>
        </w:rPr>
        <w:t>og</w:t>
      </w:r>
      <w:proofErr w:type="spellEnd"/>
      <w:r w:rsidRPr="000217AF">
        <w:rPr>
          <w:rFonts w:cstheme="minorHAnsi"/>
          <w:i/>
          <w:lang w:val="en-GB"/>
        </w:rPr>
        <w:t xml:space="preserve"> </w:t>
      </w:r>
      <w:proofErr w:type="spellStart"/>
      <w:r w:rsidRPr="000217AF">
        <w:rPr>
          <w:rFonts w:cstheme="minorHAnsi"/>
          <w:i/>
          <w:lang w:val="en-GB"/>
        </w:rPr>
        <w:t>fengsling</w:t>
      </w:r>
      <w:proofErr w:type="spellEnd"/>
      <w:r w:rsidRPr="000217AF">
        <w:rPr>
          <w:rFonts w:cstheme="minorHAnsi"/>
          <w:i/>
          <w:lang w:val="en-GB"/>
        </w:rPr>
        <w:t xml:space="preserve"> </w:t>
      </w:r>
      <w:proofErr w:type="spellStart"/>
      <w:r w:rsidRPr="000217AF">
        <w:rPr>
          <w:rFonts w:cstheme="minorHAnsi"/>
          <w:i/>
          <w:lang w:val="en-GB"/>
        </w:rPr>
        <w:t>i</w:t>
      </w:r>
      <w:proofErr w:type="spellEnd"/>
      <w:r w:rsidRPr="000217AF">
        <w:rPr>
          <w:rFonts w:cstheme="minorHAnsi"/>
          <w:i/>
          <w:lang w:val="en-GB"/>
        </w:rPr>
        <w:t xml:space="preserve"> </w:t>
      </w:r>
      <w:proofErr w:type="spellStart"/>
      <w:r w:rsidRPr="000217AF">
        <w:rPr>
          <w:rFonts w:cstheme="minorHAnsi"/>
          <w:i/>
          <w:lang w:val="en-GB"/>
        </w:rPr>
        <w:t>samband</w:t>
      </w:r>
      <w:proofErr w:type="spellEnd"/>
      <w:r w:rsidRPr="000217AF">
        <w:rPr>
          <w:rFonts w:cstheme="minorHAnsi"/>
          <w:i/>
          <w:lang w:val="en-GB"/>
        </w:rPr>
        <w:t xml:space="preserve"> med 48-timarprosedyren for </w:t>
      </w:r>
      <w:proofErr w:type="spellStart"/>
      <w:r w:rsidRPr="000217AF">
        <w:rPr>
          <w:rFonts w:cstheme="minorHAnsi"/>
          <w:i/>
          <w:lang w:val="en-GB"/>
        </w:rPr>
        <w:t>openbert</w:t>
      </w:r>
      <w:proofErr w:type="spellEnd"/>
      <w:r w:rsidRPr="000217AF">
        <w:rPr>
          <w:rFonts w:cstheme="minorHAnsi"/>
          <w:i/>
          <w:lang w:val="en-GB"/>
        </w:rPr>
        <w:t xml:space="preserve"> </w:t>
      </w:r>
      <w:proofErr w:type="spellStart"/>
      <w:r w:rsidRPr="000217AF">
        <w:rPr>
          <w:rFonts w:cstheme="minorHAnsi"/>
          <w:i/>
          <w:lang w:val="en-GB"/>
        </w:rPr>
        <w:t>grunnlause</w:t>
      </w:r>
      <w:proofErr w:type="spellEnd"/>
      <w:r w:rsidRPr="000217AF">
        <w:rPr>
          <w:rFonts w:cstheme="minorHAnsi"/>
          <w:i/>
          <w:lang w:val="en-GB"/>
        </w:rPr>
        <w:t xml:space="preserve"> </w:t>
      </w:r>
      <w:proofErr w:type="spellStart"/>
      <w:r w:rsidRPr="000217AF">
        <w:rPr>
          <w:rFonts w:cstheme="minorHAnsi"/>
          <w:i/>
          <w:lang w:val="en-GB"/>
        </w:rPr>
        <w:t>asylsøknader</w:t>
      </w:r>
      <w:proofErr w:type="spellEnd"/>
      <w:r w:rsidRPr="000217AF">
        <w:rPr>
          <w:rFonts w:cstheme="minorHAnsi"/>
          <w:i/>
          <w:lang w:val="en-GB"/>
        </w:rPr>
        <w:t>,</w:t>
      </w:r>
      <w:r w:rsidRPr="000217AF">
        <w:rPr>
          <w:rFonts w:cstheme="minorHAnsi"/>
          <w:lang w:val="en-GB"/>
        </w:rPr>
        <w:t xml:space="preserve"> op. cit. p. 11, available at: </w:t>
      </w:r>
      <w:hyperlink r:id="rId16" w:history="1">
        <w:r w:rsidRPr="000217AF">
          <w:rPr>
            <w:rStyle w:val="Hyperkobling"/>
            <w:rFonts w:cstheme="minorHAnsi"/>
          </w:rPr>
          <w:t>http://bit.ly/2BFRux5</w:t>
        </w:r>
      </w:hyperlink>
      <w:r w:rsidRPr="000217AF">
        <w:rPr>
          <w:rFonts w:cstheme="minorHAnsi"/>
          <w:lang w:val="en-GB"/>
        </w:rPr>
        <w:t xml:space="preserve"> </w:t>
      </w:r>
    </w:p>
  </w:footnote>
  <w:footnote w:id="28">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lang w:val="en-GB"/>
        </w:rPr>
        <w:t xml:space="preserve"> </w:t>
      </w:r>
      <w:proofErr w:type="gramStart"/>
      <w:r w:rsidRPr="000217AF">
        <w:rPr>
          <w:rFonts w:cstheme="minorHAnsi"/>
          <w:i/>
          <w:lang w:val="en-GB"/>
        </w:rPr>
        <w:t>Van Alphen v. the Netherlands</w:t>
      </w:r>
      <w:r w:rsidRPr="000217AF">
        <w:rPr>
          <w:rFonts w:cstheme="minorHAnsi"/>
          <w:lang w:val="en-GB"/>
        </w:rPr>
        <w:t xml:space="preserve"> (see footnote 26), </w:t>
      </w:r>
      <w:r w:rsidRPr="000217AF">
        <w:rPr>
          <w:rFonts w:cstheme="minorHAnsi"/>
        </w:rPr>
        <w:t>para 5.8.</w:t>
      </w:r>
      <w:proofErr w:type="gramEnd"/>
    </w:p>
  </w:footnote>
  <w:footnote w:id="29">
    <w:p w:rsidR="00BE3985" w:rsidRPr="000217AF" w:rsidRDefault="00BE3985" w:rsidP="000217AF">
      <w:pPr>
        <w:pStyle w:val="Fotnotetekst"/>
        <w:rPr>
          <w:rFonts w:cstheme="minorHAnsi"/>
          <w:lang w:val="en-GB"/>
        </w:rPr>
      </w:pPr>
      <w:r w:rsidRPr="000217AF">
        <w:rPr>
          <w:rStyle w:val="Fotnotereferanse"/>
          <w:rFonts w:cstheme="minorHAnsi"/>
          <w:lang w:val="en-GB"/>
        </w:rPr>
        <w:footnoteRef/>
      </w:r>
      <w:r w:rsidRPr="000217AF">
        <w:rPr>
          <w:rFonts w:cstheme="minorHAnsi"/>
          <w:lang w:val="en-GB"/>
        </w:rPr>
        <w:t xml:space="preserve"> Figures for December 2016 received from the Police Directorate Immigration Unit to The Human Rights Committee of the Bar Association (unpublished).</w:t>
      </w:r>
    </w:p>
  </w:footnote>
  <w:footnote w:id="30">
    <w:p w:rsidR="00BE3985" w:rsidRPr="000217AF"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Justis- og beredskapsdepartementet,</w:t>
      </w:r>
      <w:r w:rsidRPr="000217AF">
        <w:rPr>
          <w:rFonts w:cstheme="minorHAnsi"/>
          <w:i/>
          <w:lang w:val="nb-NO"/>
        </w:rPr>
        <w:t xml:space="preserve"> Høring om forslag til endringer i utlendingslovens regler om tvangsmidler</w:t>
      </w:r>
      <w:r w:rsidRPr="000217AF">
        <w:rPr>
          <w:rFonts w:cstheme="minorHAnsi"/>
          <w:lang w:val="nb-NO"/>
        </w:rPr>
        <w:t xml:space="preserve">, 19 </w:t>
      </w:r>
      <w:proofErr w:type="spellStart"/>
      <w:r w:rsidRPr="000217AF">
        <w:rPr>
          <w:rFonts w:cstheme="minorHAnsi"/>
          <w:lang w:val="nb-NO"/>
        </w:rPr>
        <w:t>December</w:t>
      </w:r>
      <w:proofErr w:type="spellEnd"/>
      <w:r w:rsidRPr="000217AF">
        <w:rPr>
          <w:rFonts w:cstheme="minorHAnsi"/>
          <w:lang w:val="nb-NO"/>
        </w:rPr>
        <w:t xml:space="preserve"> 2016, </w:t>
      </w:r>
      <w:proofErr w:type="spellStart"/>
      <w:r w:rsidRPr="000217AF">
        <w:rPr>
          <w:rFonts w:cstheme="minorHAnsi"/>
          <w:lang w:val="nb-NO"/>
        </w:rPr>
        <w:t>available</w:t>
      </w:r>
      <w:proofErr w:type="spellEnd"/>
      <w:r w:rsidRPr="000217AF">
        <w:rPr>
          <w:rFonts w:cstheme="minorHAnsi"/>
          <w:lang w:val="nb-NO"/>
        </w:rPr>
        <w:t xml:space="preserve"> at: </w:t>
      </w:r>
      <w:r w:rsidR="00A46246">
        <w:fldChar w:fldCharType="begin"/>
      </w:r>
      <w:r w:rsidR="00A46246" w:rsidRPr="00347524">
        <w:rPr>
          <w:lang w:val="nb-NO"/>
        </w:rPr>
        <w:instrText xml:space="preserve"> HYPERLINK "http://bit.ly/2sk7vte" </w:instrText>
      </w:r>
      <w:r w:rsidR="00A46246">
        <w:fldChar w:fldCharType="separate"/>
      </w:r>
      <w:r w:rsidRPr="000217AF">
        <w:rPr>
          <w:rStyle w:val="Hyperkobling"/>
          <w:rFonts w:cstheme="minorHAnsi"/>
          <w:lang w:val="nb-NO"/>
        </w:rPr>
        <w:t>http://bit.ly/2sk7vte</w:t>
      </w:r>
      <w:r w:rsidR="00A46246">
        <w:rPr>
          <w:rStyle w:val="Hyperkobling"/>
          <w:rFonts w:cstheme="minorHAnsi"/>
          <w:lang w:val="nb-NO"/>
        </w:rPr>
        <w:fldChar w:fldCharType="end"/>
      </w:r>
      <w:r w:rsidRPr="000217AF">
        <w:rPr>
          <w:rFonts w:cstheme="minorHAnsi"/>
          <w:lang w:val="nb-NO"/>
        </w:rPr>
        <w:t xml:space="preserve"> </w:t>
      </w:r>
    </w:p>
  </w:footnote>
  <w:footnote w:id="31">
    <w:p w:rsidR="00BE3985" w:rsidRPr="000217AF" w:rsidRDefault="00BE3985" w:rsidP="000217AF">
      <w:pPr>
        <w:pStyle w:val="Fotnotetekst"/>
        <w:rPr>
          <w:rFonts w:cstheme="minorHAnsi"/>
          <w:lang w:val="nb-NO"/>
        </w:rPr>
      </w:pPr>
      <w:r w:rsidRPr="000217AF">
        <w:rPr>
          <w:rStyle w:val="Fotnotereferanse"/>
          <w:rFonts w:cstheme="minorHAnsi"/>
        </w:rPr>
        <w:footnoteRef/>
      </w:r>
      <w:r w:rsidRPr="000217AF">
        <w:rPr>
          <w:rFonts w:cstheme="minorHAnsi"/>
          <w:lang w:val="nb-NO"/>
        </w:rPr>
        <w:t xml:space="preserve"> Erling Johannes Husabø og Annika Elisabet </w:t>
      </w:r>
      <w:proofErr w:type="spellStart"/>
      <w:r w:rsidRPr="000217AF">
        <w:rPr>
          <w:rFonts w:cstheme="minorHAnsi"/>
          <w:lang w:val="nb-NO"/>
        </w:rPr>
        <w:t>Suominen</w:t>
      </w:r>
      <w:proofErr w:type="spellEnd"/>
      <w:r w:rsidRPr="000217AF">
        <w:rPr>
          <w:rFonts w:cstheme="minorHAnsi"/>
          <w:lang w:val="nb-NO"/>
        </w:rPr>
        <w:t xml:space="preserve">, </w:t>
      </w:r>
      <w:r w:rsidRPr="000217AF">
        <w:rPr>
          <w:rFonts w:cstheme="minorHAnsi"/>
          <w:i/>
          <w:lang w:val="nb-NO"/>
        </w:rPr>
        <w:t>Forholdet mellom straffeprosesslovens og utlendingslovens regler om fengsling og andre tvangsmidler: En utredning avgitt til Justisdepartementet</w:t>
      </w:r>
      <w:r w:rsidR="00850EF4" w:rsidRPr="000217AF">
        <w:rPr>
          <w:rFonts w:cstheme="minorHAnsi"/>
          <w:lang w:val="nb-NO"/>
        </w:rPr>
        <w:t>,</w:t>
      </w:r>
      <w:r w:rsidR="00B44BE7" w:rsidRPr="000217AF">
        <w:rPr>
          <w:rFonts w:cstheme="minorHAnsi"/>
          <w:i/>
          <w:lang w:val="nb-NO"/>
        </w:rPr>
        <w:t xml:space="preserve"> </w:t>
      </w:r>
      <w:r w:rsidR="00971CC4" w:rsidRPr="000217AF">
        <w:rPr>
          <w:rFonts w:cstheme="minorHAnsi"/>
          <w:lang w:val="nb-NO"/>
        </w:rPr>
        <w:t>2</w:t>
      </w:r>
      <w:r w:rsidRPr="000217AF">
        <w:rPr>
          <w:rFonts w:cstheme="minorHAnsi"/>
          <w:lang w:val="nb-NO"/>
        </w:rPr>
        <w:t xml:space="preserve"> </w:t>
      </w:r>
      <w:proofErr w:type="spellStart"/>
      <w:r w:rsidRPr="000217AF">
        <w:rPr>
          <w:rFonts w:cstheme="minorHAnsi"/>
          <w:lang w:val="nb-NO"/>
        </w:rPr>
        <w:t>March</w:t>
      </w:r>
      <w:proofErr w:type="spellEnd"/>
      <w:r w:rsidRPr="000217AF">
        <w:rPr>
          <w:rFonts w:cstheme="minorHAnsi"/>
          <w:lang w:val="nb-NO"/>
        </w:rPr>
        <w:t xml:space="preserve"> 2012, </w:t>
      </w:r>
      <w:proofErr w:type="spellStart"/>
      <w:r w:rsidRPr="000217AF">
        <w:rPr>
          <w:rFonts w:cstheme="minorHAnsi"/>
          <w:lang w:val="nb-NO"/>
        </w:rPr>
        <w:t>available</w:t>
      </w:r>
      <w:proofErr w:type="spellEnd"/>
      <w:r w:rsidRPr="000217AF">
        <w:rPr>
          <w:rFonts w:cstheme="minorHAnsi"/>
          <w:lang w:val="nb-NO"/>
        </w:rPr>
        <w:t xml:space="preserve"> at: </w:t>
      </w:r>
      <w:r w:rsidR="00A46246">
        <w:fldChar w:fldCharType="begin"/>
      </w:r>
      <w:r w:rsidR="00A46246" w:rsidRPr="00347524">
        <w:rPr>
          <w:lang w:val="nb-NO"/>
        </w:rPr>
        <w:instrText xml:space="preserve"> HYPERLINK "http://bit.ly/2DPxQVb" </w:instrText>
      </w:r>
      <w:r w:rsidR="00A46246">
        <w:fldChar w:fldCharType="separate"/>
      </w:r>
      <w:r w:rsidRPr="000217AF">
        <w:rPr>
          <w:rStyle w:val="Hyperkobling"/>
          <w:rFonts w:cstheme="minorHAnsi"/>
          <w:lang w:val="nb-NO"/>
        </w:rPr>
        <w:t>http://bit.ly/2DPxQVb</w:t>
      </w:r>
      <w:r w:rsidR="00A46246">
        <w:rPr>
          <w:rStyle w:val="Hyperkobling"/>
          <w:rFonts w:cstheme="minorHAnsi"/>
          <w:lang w:val="nb-NO"/>
        </w:rPr>
        <w:fldChar w:fldCharType="end"/>
      </w:r>
    </w:p>
  </w:footnote>
  <w:footnote w:id="32">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Marek Linha and André Møkkelgjerd (NOAS), </w:t>
      </w:r>
      <w:r w:rsidRPr="000217AF">
        <w:rPr>
          <w:rFonts w:cstheme="minorHAnsi"/>
          <w:i/>
        </w:rPr>
        <w:t>Detention of Asylum Seekers: Analysis of Norway’s international obligations, domestic law and practice</w:t>
      </w:r>
      <w:r w:rsidRPr="000217AF">
        <w:rPr>
          <w:rFonts w:cstheme="minorHAnsi"/>
        </w:rPr>
        <w:t xml:space="preserve"> (2014), available at: </w:t>
      </w:r>
      <w:hyperlink r:id="rId17" w:history="1">
        <w:r w:rsidRPr="000217AF">
          <w:rPr>
            <w:rStyle w:val="Hyperkobling"/>
            <w:rFonts w:cstheme="minorHAnsi"/>
          </w:rPr>
          <w:t>http://bit.ly/OMSxDe</w:t>
        </w:r>
      </w:hyperlink>
      <w:r w:rsidRPr="000217AF">
        <w:rPr>
          <w:rFonts w:cstheme="minorHAnsi"/>
        </w:rPr>
        <w:t xml:space="preserve">  </w:t>
      </w:r>
    </w:p>
  </w:footnote>
  <w:footnote w:id="33">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 106 of the Immigration Act provides for a general time limit of 12 weeks, in exceptional cases of 18 months, with further exceptions allowing detention beyond 18 months if the detained person is expelled as the result of an imposed penalty or special sanction.</w:t>
      </w:r>
    </w:p>
  </w:footnote>
  <w:footnote w:id="34">
    <w:p w:rsidR="00E34826" w:rsidRPr="000217AF" w:rsidRDefault="00E34826"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r w:rsidRPr="000217AF">
        <w:rPr>
          <w:rFonts w:cstheme="minorHAnsi"/>
          <w:lang w:val="en-GB"/>
        </w:rPr>
        <w:t>See van Alphen v. the Netherlands (see footnote 26).</w:t>
      </w:r>
    </w:p>
  </w:footnote>
  <w:footnote w:id="35">
    <w:p w:rsidR="009357E4" w:rsidRPr="000217AF" w:rsidRDefault="009357E4" w:rsidP="000217AF">
      <w:pPr>
        <w:spacing w:after="0" w:line="240" w:lineRule="auto"/>
        <w:rPr>
          <w:rFonts w:cstheme="minorHAnsi"/>
          <w:sz w:val="20"/>
          <w:szCs w:val="20"/>
          <w:lang w:val="en-GB"/>
        </w:rPr>
      </w:pPr>
      <w:r w:rsidRPr="000217AF">
        <w:rPr>
          <w:rStyle w:val="Fotnotereferanse"/>
          <w:rFonts w:cstheme="minorHAnsi"/>
          <w:sz w:val="20"/>
          <w:szCs w:val="20"/>
        </w:rPr>
        <w:footnoteRef/>
      </w:r>
      <w:r w:rsidRPr="000217AF">
        <w:rPr>
          <w:rFonts w:cstheme="minorHAnsi"/>
          <w:sz w:val="20"/>
          <w:szCs w:val="20"/>
        </w:rPr>
        <w:t xml:space="preserve"> </w:t>
      </w:r>
      <w:r w:rsidRPr="000217AF">
        <w:rPr>
          <w:rFonts w:cstheme="minorHAnsi"/>
          <w:sz w:val="20"/>
          <w:szCs w:val="20"/>
          <w:lang w:val="en-GB"/>
        </w:rPr>
        <w:t>Initial detention may be decided for one day, which may thereafter be extended by the court for three days and, if necessary, for an additional three days. Thereafter, the court may extend detention for a further week at a time, provided there are, “special and strong reasons” to do so.</w:t>
      </w:r>
    </w:p>
  </w:footnote>
  <w:footnote w:id="36">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r w:rsidRPr="000217AF">
        <w:rPr>
          <w:rFonts w:cstheme="minorHAnsi"/>
          <w:lang w:val="en-GB"/>
        </w:rPr>
        <w:t xml:space="preserve">Judgment dated 31 May </w:t>
      </w:r>
      <w:proofErr w:type="gramStart"/>
      <w:r w:rsidRPr="000217AF">
        <w:rPr>
          <w:rFonts w:cstheme="minorHAnsi"/>
          <w:lang w:val="en-GB"/>
        </w:rPr>
        <w:t>2017,</w:t>
      </w:r>
      <w:proofErr w:type="gramEnd"/>
      <w:r w:rsidRPr="000217AF">
        <w:rPr>
          <w:rFonts w:cstheme="minorHAnsi"/>
          <w:lang w:val="en-GB"/>
        </w:rPr>
        <w:t xml:space="preserve"> case number LB-2016-8370.</w:t>
      </w:r>
    </w:p>
  </w:footnote>
  <w:footnote w:id="37">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hyperlink r:id="rId18" w:history="1">
        <w:r w:rsidRPr="000217AF">
          <w:rPr>
            <w:rStyle w:val="Hyperkobling"/>
            <w:rFonts w:cstheme="minorHAnsi"/>
          </w:rPr>
          <w:t>http://bit.ly/1EVQsh5</w:t>
        </w:r>
      </w:hyperlink>
      <w:r w:rsidRPr="000217AF">
        <w:rPr>
          <w:rFonts w:cstheme="minorHAnsi"/>
        </w:rPr>
        <w:t xml:space="preserve"> </w:t>
      </w:r>
    </w:p>
  </w:footnote>
  <w:footnote w:id="38">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The letter is available at: </w:t>
      </w:r>
      <w:hyperlink r:id="rId19" w:history="1">
        <w:r w:rsidRPr="000217AF">
          <w:rPr>
            <w:rStyle w:val="Hyperkobling"/>
            <w:rFonts w:cstheme="minorHAnsi"/>
          </w:rPr>
          <w:t>http://bit.ly/2FJIdam</w:t>
        </w:r>
      </w:hyperlink>
      <w:r w:rsidRPr="000217AF">
        <w:rPr>
          <w:rFonts w:cstheme="minorHAnsi"/>
        </w:rPr>
        <w:t xml:space="preserve"> </w:t>
      </w:r>
      <w:proofErr w:type="gramStart"/>
      <w:r w:rsidRPr="000217AF">
        <w:rPr>
          <w:rFonts w:cstheme="minorHAnsi"/>
        </w:rPr>
        <w:t>The</w:t>
      </w:r>
      <w:proofErr w:type="gramEnd"/>
      <w:r w:rsidRPr="000217AF">
        <w:rPr>
          <w:rFonts w:cstheme="minorHAnsi"/>
        </w:rPr>
        <w:t xml:space="preserve"> quotation is from the 11 paragraph.</w:t>
      </w:r>
    </w:p>
  </w:footnote>
  <w:footnote w:id="39">
    <w:p w:rsidR="00BE3985" w:rsidRPr="000217AF" w:rsidRDefault="00BE3985" w:rsidP="000217AF">
      <w:pPr>
        <w:pStyle w:val="Fotnotetekst"/>
        <w:rPr>
          <w:rFonts w:cstheme="minorHAnsi"/>
          <w:lang w:val="en-GB"/>
        </w:rPr>
      </w:pPr>
      <w:r w:rsidRPr="000217AF">
        <w:rPr>
          <w:rStyle w:val="Fotnotereferanse"/>
          <w:rFonts w:cstheme="minorHAnsi"/>
          <w:lang w:val="en-GB"/>
        </w:rPr>
        <w:footnoteRef/>
      </w:r>
      <w:r w:rsidRPr="000217AF">
        <w:rPr>
          <w:rFonts w:cstheme="minorHAnsi"/>
          <w:lang w:val="en-GB"/>
        </w:rPr>
        <w:t xml:space="preserve"> The letter is available in English language: </w:t>
      </w:r>
      <w:hyperlink r:id="rId20" w:history="1">
        <w:r w:rsidRPr="000217AF">
          <w:rPr>
            <w:rStyle w:val="Hyperkobling"/>
            <w:rFonts w:cstheme="minorHAnsi"/>
            <w:lang w:val="en-GB"/>
          </w:rPr>
          <w:t>http://bit.ly/2B3PnTo</w:t>
        </w:r>
      </w:hyperlink>
      <w:r w:rsidRPr="000217AF">
        <w:rPr>
          <w:rFonts w:cstheme="minorHAnsi"/>
          <w:lang w:val="en-GB"/>
        </w:rPr>
        <w:t xml:space="preserve"> </w:t>
      </w:r>
    </w:p>
  </w:footnote>
  <w:footnote w:id="40">
    <w:p w:rsidR="00BE3985" w:rsidRPr="000217AF" w:rsidRDefault="00BE3985" w:rsidP="000217AF">
      <w:pPr>
        <w:pStyle w:val="Fotnotetekst"/>
        <w:rPr>
          <w:rFonts w:cstheme="minorHAnsi"/>
          <w:lang w:val="en-GB"/>
        </w:rPr>
      </w:pPr>
      <w:r w:rsidRPr="000217AF">
        <w:rPr>
          <w:rStyle w:val="Fotnotereferanse"/>
          <w:rFonts w:cstheme="minorHAnsi"/>
          <w:lang w:val="en-GB"/>
        </w:rPr>
        <w:footnoteRef/>
      </w:r>
      <w:r w:rsidRPr="000217AF">
        <w:rPr>
          <w:rFonts w:cstheme="minorHAnsi"/>
          <w:lang w:val="en-GB"/>
        </w:rPr>
        <w:t xml:space="preserve"> </w:t>
      </w:r>
      <w:proofErr w:type="gramStart"/>
      <w:r w:rsidRPr="000217AF">
        <w:rPr>
          <w:rFonts w:cstheme="minorHAnsi"/>
          <w:lang w:val="en-GB"/>
        </w:rPr>
        <w:t>UNHCR comments on Norway is</w:t>
      </w:r>
      <w:proofErr w:type="gramEnd"/>
      <w:r w:rsidRPr="000217AF">
        <w:rPr>
          <w:rFonts w:cstheme="minorHAnsi"/>
          <w:lang w:val="en-GB"/>
        </w:rPr>
        <w:t xml:space="preserve"> available at: </w:t>
      </w:r>
      <w:r w:rsidRPr="000217AF">
        <w:rPr>
          <w:rFonts w:cstheme="minorHAnsi"/>
        </w:rPr>
        <w:t>http://bit.ly/2DS4y8u</w:t>
      </w:r>
      <w:r w:rsidRPr="000217AF">
        <w:rPr>
          <w:rFonts w:cstheme="minorHAnsi"/>
          <w:lang w:val="en-GB"/>
        </w:rPr>
        <w:t xml:space="preserve"> See also a letter of 15 February 2016 to Norway’s Minister of Immigration and Integration, </w:t>
      </w:r>
      <w:proofErr w:type="spellStart"/>
      <w:r w:rsidRPr="000217AF">
        <w:rPr>
          <w:rFonts w:cstheme="minorHAnsi"/>
          <w:lang w:val="en-GB"/>
        </w:rPr>
        <w:t>Sylvi</w:t>
      </w:r>
      <w:proofErr w:type="spellEnd"/>
      <w:r w:rsidRPr="000217AF">
        <w:rPr>
          <w:rFonts w:cstheme="minorHAnsi"/>
          <w:lang w:val="en-GB"/>
        </w:rPr>
        <w:t xml:space="preserve"> </w:t>
      </w:r>
      <w:proofErr w:type="spellStart"/>
      <w:r w:rsidRPr="000217AF">
        <w:rPr>
          <w:rFonts w:cstheme="minorHAnsi"/>
          <w:lang w:val="en-GB"/>
        </w:rPr>
        <w:t>Listhaug</w:t>
      </w:r>
      <w:proofErr w:type="spellEnd"/>
      <w:r w:rsidRPr="000217AF">
        <w:rPr>
          <w:rFonts w:cstheme="minorHAnsi"/>
          <w:lang w:val="en-GB"/>
        </w:rPr>
        <w:t xml:space="preserve">. </w:t>
      </w:r>
      <w:hyperlink r:id="rId21" w:history="1">
        <w:r w:rsidRPr="000217AF">
          <w:rPr>
            <w:rStyle w:val="Hyperkobling"/>
            <w:rFonts w:cstheme="minorHAnsi"/>
            <w:lang w:val="en-GB"/>
          </w:rPr>
          <w:t>http://bit.ly/2DqyAiG</w:t>
        </w:r>
      </w:hyperlink>
      <w:r w:rsidRPr="000217AF">
        <w:rPr>
          <w:rFonts w:cstheme="minorHAnsi"/>
          <w:lang w:val="en-GB"/>
        </w:rPr>
        <w:t xml:space="preserve"> </w:t>
      </w:r>
    </w:p>
  </w:footnote>
  <w:footnote w:id="41">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hyperlink r:id="rId22" w:history="1">
        <w:r w:rsidRPr="000217AF">
          <w:rPr>
            <w:rStyle w:val="Hyperkobling"/>
            <w:rFonts w:cstheme="minorHAnsi"/>
          </w:rPr>
          <w:t>http://bit.ly/2E4hXJP</w:t>
        </w:r>
      </w:hyperlink>
      <w:r w:rsidRPr="000217AF">
        <w:rPr>
          <w:rFonts w:cstheme="minorHAnsi"/>
        </w:rPr>
        <w:t xml:space="preserve"> </w:t>
      </w:r>
    </w:p>
  </w:footnote>
  <w:footnote w:id="42">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http://bit.ly/2DSY5Kr</w:t>
      </w:r>
    </w:p>
  </w:footnote>
  <w:footnote w:id="43">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We do not provide the real names of asylum applicants in this section.</w:t>
      </w:r>
    </w:p>
  </w:footnote>
  <w:footnote w:id="44">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See Amnesty International</w:t>
      </w:r>
      <w:r w:rsidRPr="000217AF">
        <w:rPr>
          <w:rFonts w:cstheme="minorHAnsi"/>
          <w:i/>
        </w:rPr>
        <w:t>, Forced back to danger: Asylum seekers returned from Europe to Afghanistan</w:t>
      </w:r>
      <w:r w:rsidRPr="000217AF">
        <w:rPr>
          <w:rFonts w:cstheme="minorHAnsi"/>
        </w:rPr>
        <w:t>, 2017, pages 12-13. Available at: http://bit.ly/2xjKeVs</w:t>
      </w:r>
    </w:p>
  </w:footnote>
  <w:footnote w:id="45">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r w:rsidRPr="000217AF">
        <w:rPr>
          <w:rFonts w:cstheme="minorHAnsi"/>
          <w:lang w:val="en-GB"/>
        </w:rPr>
        <w:t>All information about the case is from Amnesty International Norway.</w:t>
      </w:r>
    </w:p>
  </w:footnote>
  <w:footnote w:id="46">
    <w:p w:rsidR="00BE3985" w:rsidRPr="000217AF" w:rsidRDefault="00BE3985" w:rsidP="000217AF">
      <w:pPr>
        <w:pStyle w:val="Fotnotetekst"/>
        <w:rPr>
          <w:rFonts w:cstheme="minorHAnsi"/>
          <w:lang w:val="en-GB"/>
        </w:rPr>
      </w:pPr>
      <w:r w:rsidRPr="000217AF">
        <w:rPr>
          <w:rStyle w:val="Fotnotereferanse"/>
          <w:rFonts w:cstheme="minorHAnsi"/>
          <w:lang w:val="en-GB"/>
        </w:rPr>
        <w:footnoteRef/>
      </w:r>
      <w:r w:rsidRPr="000217AF">
        <w:rPr>
          <w:rFonts w:cstheme="minorHAnsi"/>
          <w:lang w:val="en-GB"/>
        </w:rPr>
        <w:t xml:space="preserve"> </w:t>
      </w:r>
      <w:hyperlink r:id="rId23" w:history="1">
        <w:r w:rsidRPr="000217AF">
          <w:rPr>
            <w:rStyle w:val="Hyperkobling"/>
            <w:rFonts w:cstheme="minorHAnsi"/>
          </w:rPr>
          <w:t>http://bit.ly/2BKf4sj</w:t>
        </w:r>
      </w:hyperlink>
      <w:r w:rsidRPr="000217AF">
        <w:rPr>
          <w:rFonts w:cstheme="minorHAnsi"/>
        </w:rPr>
        <w:t xml:space="preserve"> </w:t>
      </w:r>
      <w:r w:rsidRPr="000217AF">
        <w:rPr>
          <w:rFonts w:cstheme="minorHAnsi"/>
          <w:lang w:val="en-GB"/>
        </w:rPr>
        <w:t xml:space="preserve">and </w:t>
      </w:r>
      <w:hyperlink r:id="rId24" w:history="1">
        <w:r w:rsidRPr="000217AF">
          <w:rPr>
            <w:rStyle w:val="Hyperkobling"/>
            <w:rFonts w:cstheme="minorHAnsi"/>
            <w:lang w:val="en-GB"/>
          </w:rPr>
          <w:t>http://bit.ly/2BLYmco</w:t>
        </w:r>
      </w:hyperlink>
      <w:r w:rsidRPr="000217AF">
        <w:rPr>
          <w:rFonts w:cstheme="minorHAnsi"/>
          <w:lang w:val="en-GB"/>
        </w:rPr>
        <w:t xml:space="preserve"> </w:t>
      </w:r>
    </w:p>
  </w:footnote>
  <w:footnote w:id="47">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Both the NHC letter and the Ministry of Foreign Affairs’ response is available (in Norwegian only) at: </w:t>
      </w:r>
      <w:hyperlink r:id="rId25" w:history="1">
        <w:r w:rsidRPr="000217AF">
          <w:rPr>
            <w:rStyle w:val="Hyperkobling"/>
            <w:rFonts w:cstheme="minorHAnsi"/>
          </w:rPr>
          <w:t>http://bit.ly/2E4KcIk</w:t>
        </w:r>
      </w:hyperlink>
      <w:r w:rsidRPr="000217AF">
        <w:rPr>
          <w:rFonts w:cstheme="minorHAnsi"/>
        </w:rPr>
        <w:t xml:space="preserve"> </w:t>
      </w:r>
    </w:p>
  </w:footnote>
  <w:footnote w:id="48">
    <w:p w:rsidR="00BE3985" w:rsidRPr="000217AF" w:rsidRDefault="00BE3985" w:rsidP="000217AF">
      <w:pPr>
        <w:pStyle w:val="Fotnotetekst"/>
        <w:rPr>
          <w:rFonts w:cstheme="minorHAnsi"/>
          <w:lang w:val="en-GB"/>
        </w:rPr>
      </w:pPr>
      <w:r w:rsidRPr="000217AF">
        <w:rPr>
          <w:rStyle w:val="Fotnotereferanse"/>
          <w:rFonts w:cstheme="minorHAnsi"/>
          <w:lang w:val="en-GB"/>
        </w:rPr>
        <w:footnoteRef/>
      </w:r>
      <w:r w:rsidRPr="000217AF">
        <w:rPr>
          <w:rFonts w:cstheme="minorHAnsi"/>
          <w:lang w:val="en-GB"/>
        </w:rPr>
        <w:t xml:space="preserve"> Statements and media coverage are available (in Norwegian only): </w:t>
      </w:r>
      <w:hyperlink r:id="rId26" w:history="1">
        <w:r w:rsidRPr="000217AF">
          <w:rPr>
            <w:rStyle w:val="Hyperkobling"/>
            <w:rFonts w:cstheme="minorHAnsi"/>
            <w:lang w:val="en-GB"/>
          </w:rPr>
          <w:t>http://bit.ly/2nr5QNg</w:t>
        </w:r>
      </w:hyperlink>
      <w:r w:rsidRPr="000217AF">
        <w:rPr>
          <w:rFonts w:cstheme="minorHAnsi"/>
          <w:lang w:val="en-GB"/>
        </w:rPr>
        <w:t xml:space="preserve"> </w:t>
      </w:r>
    </w:p>
  </w:footnote>
  <w:footnote w:id="49">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w:t>
      </w:r>
      <w:proofErr w:type="gramStart"/>
      <w:r w:rsidRPr="000217AF">
        <w:rPr>
          <w:rFonts w:cstheme="minorHAnsi"/>
        </w:rPr>
        <w:t>Reported by the Norwegian Daily newspaper VG.</w:t>
      </w:r>
      <w:proofErr w:type="gramEnd"/>
      <w:r w:rsidRPr="000217AF">
        <w:rPr>
          <w:rFonts w:cstheme="minorHAnsi"/>
        </w:rPr>
        <w:t xml:space="preserve"> </w:t>
      </w:r>
      <w:r w:rsidRPr="000217AF">
        <w:rPr>
          <w:rFonts w:cstheme="minorHAnsi"/>
          <w:lang w:val="en-GB"/>
        </w:rPr>
        <w:t xml:space="preserve">Available (in Norwegian only) at: </w:t>
      </w:r>
      <w:hyperlink r:id="rId27" w:history="1">
        <w:r w:rsidRPr="000217AF">
          <w:rPr>
            <w:rStyle w:val="Hyperkobling"/>
            <w:rFonts w:cstheme="minorHAnsi"/>
            <w:lang w:val="en-GB"/>
          </w:rPr>
          <w:t>http://bit.ly/2DQm7FQ</w:t>
        </w:r>
      </w:hyperlink>
      <w:r w:rsidRPr="000217AF">
        <w:rPr>
          <w:rFonts w:cstheme="minorHAnsi"/>
          <w:lang w:val="en-GB"/>
        </w:rPr>
        <w:t xml:space="preserve"> The organisations behind this report also know other cases of returnees being severely tortured, which has not been exposed in media.</w:t>
      </w:r>
    </w:p>
  </w:footnote>
  <w:footnote w:id="50">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w:t>
      </w:r>
      <w:proofErr w:type="gramStart"/>
      <w:r w:rsidRPr="000217AF">
        <w:rPr>
          <w:rFonts w:cstheme="minorHAnsi"/>
        </w:rPr>
        <w:t>Norway’s seventh periodic report to the Human Rights Committee, paragraph 169.</w:t>
      </w:r>
      <w:proofErr w:type="gramEnd"/>
    </w:p>
  </w:footnote>
  <w:footnote w:id="51">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The Legal Aid Act Article 11 no. 1, cf. the Immigration Act Article 92 para. </w:t>
      </w:r>
      <w:r w:rsidRPr="000217AF">
        <w:rPr>
          <w:rFonts w:cstheme="minorHAnsi"/>
          <w:lang w:val="en-GB"/>
        </w:rPr>
        <w:t>1.</w:t>
      </w:r>
    </w:p>
  </w:footnote>
  <w:footnote w:id="52">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lang w:val="en-GB"/>
        </w:rPr>
        <w:t xml:space="preserve"> «</w:t>
      </w:r>
      <w:proofErr w:type="spellStart"/>
      <w:r w:rsidRPr="000217AF">
        <w:rPr>
          <w:rFonts w:cstheme="minorHAnsi"/>
          <w:lang w:val="en-GB"/>
        </w:rPr>
        <w:t>Stykkprisforskriften</w:t>
      </w:r>
      <w:proofErr w:type="spellEnd"/>
      <w:r w:rsidRPr="000217AF">
        <w:rPr>
          <w:rFonts w:cstheme="minorHAnsi"/>
          <w:lang w:val="en-GB"/>
        </w:rPr>
        <w:t>» Article 5 para. 1.</w:t>
      </w:r>
    </w:p>
  </w:footnote>
  <w:footnote w:id="53">
    <w:p w:rsidR="00BE3985" w:rsidRPr="000217AF" w:rsidRDefault="00BE3985" w:rsidP="000217AF">
      <w:pPr>
        <w:pStyle w:val="Rentekst"/>
        <w:rPr>
          <w:rFonts w:asciiTheme="minorHAnsi" w:hAnsiTheme="minorHAnsi" w:cstheme="minorHAnsi"/>
          <w:sz w:val="20"/>
          <w:szCs w:val="20"/>
          <w:lang w:val="en-GB"/>
        </w:rPr>
      </w:pPr>
      <w:r w:rsidRPr="000217AF">
        <w:rPr>
          <w:rStyle w:val="Fotnotereferanse"/>
          <w:rFonts w:asciiTheme="minorHAnsi" w:hAnsiTheme="minorHAnsi" w:cstheme="minorHAnsi"/>
          <w:sz w:val="20"/>
          <w:szCs w:val="20"/>
        </w:rPr>
        <w:footnoteRef/>
      </w:r>
      <w:r w:rsidRPr="000217AF">
        <w:rPr>
          <w:rFonts w:asciiTheme="minorHAnsi" w:hAnsiTheme="minorHAnsi" w:cstheme="minorHAnsi"/>
          <w:sz w:val="20"/>
          <w:szCs w:val="20"/>
          <w:lang w:val="en-GB"/>
        </w:rPr>
        <w:t xml:space="preserve"> </w:t>
      </w:r>
      <w:r w:rsidR="00A46246">
        <w:fldChar w:fldCharType="begin"/>
      </w:r>
      <w:r w:rsidR="00A46246" w:rsidRPr="00347524">
        <w:rPr>
          <w:lang w:val="en-GB"/>
        </w:rPr>
        <w:instrText xml:space="preserve"> HYPERLINK "http://bit.ly/2E7Zxb9" </w:instrText>
      </w:r>
      <w:r w:rsidR="00A46246">
        <w:fldChar w:fldCharType="separate"/>
      </w:r>
      <w:r w:rsidRPr="000217AF">
        <w:rPr>
          <w:rStyle w:val="Hyperkobling"/>
          <w:rFonts w:asciiTheme="minorHAnsi" w:hAnsiTheme="minorHAnsi" w:cstheme="minorHAnsi"/>
          <w:sz w:val="20"/>
          <w:szCs w:val="20"/>
          <w:lang w:val="en-GB"/>
        </w:rPr>
        <w:t>http://bit.ly/2E7Zxb9</w:t>
      </w:r>
      <w:r w:rsidR="00A46246">
        <w:rPr>
          <w:rStyle w:val="Hyperkobling"/>
          <w:rFonts w:asciiTheme="minorHAnsi" w:hAnsiTheme="minorHAnsi" w:cstheme="minorHAnsi"/>
          <w:sz w:val="20"/>
          <w:szCs w:val="20"/>
          <w:lang w:val="en-GB"/>
        </w:rPr>
        <w:fldChar w:fldCharType="end"/>
      </w:r>
      <w:r w:rsidRPr="000217AF">
        <w:rPr>
          <w:rFonts w:asciiTheme="minorHAnsi" w:hAnsiTheme="minorHAnsi" w:cstheme="minorHAnsi"/>
          <w:sz w:val="20"/>
          <w:szCs w:val="20"/>
          <w:lang w:val="en-GB"/>
        </w:rPr>
        <w:t xml:space="preserve"> </w:t>
      </w:r>
    </w:p>
    <w:p w:rsidR="00BE3985" w:rsidRPr="000217AF" w:rsidRDefault="00BE3985" w:rsidP="000217AF">
      <w:pPr>
        <w:pStyle w:val="Fotnotetekst"/>
        <w:rPr>
          <w:rFonts w:cstheme="minorHAnsi"/>
          <w:lang w:val="en-GB"/>
        </w:rPr>
      </w:pPr>
    </w:p>
  </w:footnote>
  <w:footnote w:id="54">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The Norwegian Nationality Act, Article 26, second part reads as following: “An administrative decision regarding nationality may be revoked if it is possible to reverse it pursuant to section 35 of the Public Administration Act or general rules of administrative law. However, revocation of nationality that is based on incorrect or incomplete information may only be carried out if the applicant has furnished the incorrect information against his or her better judgment or has suppressed circumstances of substantial importance for the decision.” (</w:t>
      </w:r>
      <w:r w:rsidR="00C61C09" w:rsidRPr="000217AF">
        <w:rPr>
          <w:rFonts w:cstheme="minorHAnsi"/>
        </w:rPr>
        <w:t xml:space="preserve">An </w:t>
      </w:r>
      <w:r w:rsidRPr="000217AF">
        <w:rPr>
          <w:rFonts w:cstheme="minorHAnsi"/>
        </w:rPr>
        <w:t xml:space="preserve">unofficial translation of the Act is available at: </w:t>
      </w:r>
      <w:hyperlink r:id="rId28" w:history="1">
        <w:r w:rsidRPr="000217AF">
          <w:rPr>
            <w:rStyle w:val="Hyperkobling"/>
            <w:rFonts w:cstheme="minorHAnsi"/>
          </w:rPr>
          <w:t>http://bit.ly/2BNW4cw</w:t>
        </w:r>
      </w:hyperlink>
      <w:r w:rsidRPr="000217AF">
        <w:rPr>
          <w:rFonts w:cstheme="minorHAnsi"/>
        </w:rPr>
        <w:t xml:space="preserve">) </w:t>
      </w:r>
    </w:p>
  </w:footnote>
  <w:footnote w:id="55">
    <w:p w:rsidR="00BE3985" w:rsidRPr="000217AF" w:rsidRDefault="00BE3985" w:rsidP="000217AF">
      <w:pPr>
        <w:pStyle w:val="Fotnotetekst"/>
        <w:rPr>
          <w:rFonts w:cstheme="minorHAnsi"/>
        </w:rPr>
      </w:pPr>
      <w:r w:rsidRPr="000217AF">
        <w:rPr>
          <w:rStyle w:val="Fotnotereferanse"/>
          <w:rFonts w:cstheme="minorHAnsi"/>
        </w:rPr>
        <w:footnoteRef/>
      </w:r>
      <w:r w:rsidRPr="000217AF">
        <w:rPr>
          <w:rFonts w:cstheme="minorHAnsi"/>
        </w:rPr>
        <w:t xml:space="preserve"> The report and comments from a wide range of stakeholders are available in Norwegian only at: </w:t>
      </w:r>
      <w:hyperlink r:id="rId29" w:history="1">
        <w:r w:rsidRPr="000217AF">
          <w:rPr>
            <w:rStyle w:val="Hyperkobling"/>
            <w:rFonts w:cstheme="minorHAnsi"/>
          </w:rPr>
          <w:t>http://bit.ly/2EpRWoG</w:t>
        </w:r>
      </w:hyperlink>
      <w:r w:rsidRPr="000217AF">
        <w:rPr>
          <w:rFonts w:cstheme="minorHAnsi"/>
        </w:rPr>
        <w:t xml:space="preserve"> </w:t>
      </w:r>
    </w:p>
  </w:footnote>
  <w:footnote w:id="56">
    <w:p w:rsidR="00BE3985" w:rsidRPr="000217AF" w:rsidRDefault="00BE3985" w:rsidP="000217AF">
      <w:pPr>
        <w:pStyle w:val="Fotnotetekst"/>
        <w:rPr>
          <w:rFonts w:cstheme="minorHAnsi"/>
          <w:lang w:val="en-GB"/>
        </w:rPr>
      </w:pPr>
      <w:r w:rsidRPr="000217AF">
        <w:rPr>
          <w:rStyle w:val="Fotnotereferanse"/>
          <w:rFonts w:cstheme="minorHAnsi"/>
        </w:rPr>
        <w:footnoteRef/>
      </w:r>
      <w:r w:rsidRPr="000217AF">
        <w:rPr>
          <w:rFonts w:cstheme="minorHAnsi"/>
        </w:rPr>
        <w:t xml:space="preserve"> See “Issues for immediate action”, page 2 of the Committee’s third opinion on Norway, adopted on 30 June 2011, available at: </w:t>
      </w:r>
      <w:hyperlink r:id="rId30" w:history="1">
        <w:r w:rsidRPr="000217AF">
          <w:rPr>
            <w:rStyle w:val="Hyperkobling"/>
            <w:rFonts w:cstheme="minorHAnsi"/>
          </w:rPr>
          <w:t>http://bit.ly/2C2KmuF</w:t>
        </w:r>
      </w:hyperlink>
      <w:r w:rsidRPr="000217AF">
        <w:rPr>
          <w:rFonts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63"/>
    <w:multiLevelType w:val="hybridMultilevel"/>
    <w:tmpl w:val="CE02CFC2"/>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DF6F46"/>
    <w:multiLevelType w:val="hybridMultilevel"/>
    <w:tmpl w:val="61567FAA"/>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6C60D7F"/>
    <w:multiLevelType w:val="hybridMultilevel"/>
    <w:tmpl w:val="C6C86E9E"/>
    <w:lvl w:ilvl="0" w:tplc="BC7C8AFC">
      <w:numFmt w:val="bullet"/>
      <w:lvlText w:val="–"/>
      <w:lvlJc w:val="left"/>
      <w:pPr>
        <w:ind w:left="720" w:hanging="360"/>
      </w:pPr>
      <w:rPr>
        <w:rFonts w:ascii="MatrixOldstyle" w:eastAsia="Times New Roman" w:hAnsi="MatrixOld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EE6499"/>
    <w:multiLevelType w:val="hybridMultilevel"/>
    <w:tmpl w:val="1ACEC832"/>
    <w:lvl w:ilvl="0" w:tplc="A6AA491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4653B"/>
    <w:multiLevelType w:val="hybridMultilevel"/>
    <w:tmpl w:val="CB1EF1B2"/>
    <w:lvl w:ilvl="0" w:tplc="BC7C8AFC">
      <w:numFmt w:val="bullet"/>
      <w:lvlText w:val="–"/>
      <w:lvlJc w:val="left"/>
      <w:pPr>
        <w:ind w:left="1068" w:hanging="360"/>
      </w:pPr>
      <w:rPr>
        <w:rFonts w:ascii="MatrixOldstyle" w:eastAsia="Times New Roman" w:hAnsi="MatrixOldstyle"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nsid w:val="0AAC1837"/>
    <w:multiLevelType w:val="hybridMultilevel"/>
    <w:tmpl w:val="56C07408"/>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0C662D"/>
    <w:multiLevelType w:val="hybridMultilevel"/>
    <w:tmpl w:val="17D0F280"/>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C63A50"/>
    <w:multiLevelType w:val="hybridMultilevel"/>
    <w:tmpl w:val="72D830EE"/>
    <w:lvl w:ilvl="0" w:tplc="8AF8AC1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F2E1C1B"/>
    <w:multiLevelType w:val="hybridMultilevel"/>
    <w:tmpl w:val="CAA49312"/>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0FC3700A"/>
    <w:multiLevelType w:val="hybridMultilevel"/>
    <w:tmpl w:val="FE386644"/>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1DE23BF"/>
    <w:multiLevelType w:val="hybridMultilevel"/>
    <w:tmpl w:val="3BF234B8"/>
    <w:lvl w:ilvl="0" w:tplc="BC7C8AFC">
      <w:numFmt w:val="bullet"/>
      <w:lvlText w:val="–"/>
      <w:lvlJc w:val="left"/>
      <w:pPr>
        <w:ind w:left="360" w:hanging="360"/>
      </w:pPr>
      <w:rPr>
        <w:rFonts w:ascii="MatrixOldstyle" w:eastAsia="Times New Roman" w:hAnsi="MatrixOldstyle"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13432B4C"/>
    <w:multiLevelType w:val="hybridMultilevel"/>
    <w:tmpl w:val="59325EDC"/>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41A56FD"/>
    <w:multiLevelType w:val="hybridMultilevel"/>
    <w:tmpl w:val="FAE23C1E"/>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2E1EDE"/>
    <w:multiLevelType w:val="hybridMultilevel"/>
    <w:tmpl w:val="9534634E"/>
    <w:lvl w:ilvl="0" w:tplc="04548A58">
      <w:numFmt w:val="bullet"/>
      <w:lvlText w:val="–"/>
      <w:lvlJc w:val="left"/>
      <w:pPr>
        <w:ind w:left="720" w:hanging="360"/>
      </w:pPr>
      <w:rPr>
        <w:rFonts w:ascii="MatrixOldstyle" w:eastAsia="Times New Roman" w:hAnsi="MatrixOldstyle"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FA6BEC"/>
    <w:multiLevelType w:val="hybridMultilevel"/>
    <w:tmpl w:val="F40297F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29F6857"/>
    <w:multiLevelType w:val="hybridMultilevel"/>
    <w:tmpl w:val="59463D8A"/>
    <w:lvl w:ilvl="0" w:tplc="BC7C8AFC">
      <w:numFmt w:val="bullet"/>
      <w:lvlText w:val="–"/>
      <w:lvlJc w:val="left"/>
      <w:pPr>
        <w:ind w:left="720" w:hanging="360"/>
      </w:pPr>
      <w:rPr>
        <w:rFonts w:ascii="MatrixOldstyle" w:eastAsia="Times New Roman" w:hAnsi="MatrixOld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2FB26ED"/>
    <w:multiLevelType w:val="hybridMultilevel"/>
    <w:tmpl w:val="27C89506"/>
    <w:lvl w:ilvl="0" w:tplc="BC7C8AFC">
      <w:numFmt w:val="bullet"/>
      <w:lvlText w:val="–"/>
      <w:lvlJc w:val="left"/>
      <w:pPr>
        <w:ind w:left="360" w:hanging="360"/>
      </w:pPr>
      <w:rPr>
        <w:rFonts w:ascii="MatrixOldstyle" w:eastAsia="Times New Roman" w:hAnsi="MatrixOldstyle"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247306B9"/>
    <w:multiLevelType w:val="hybridMultilevel"/>
    <w:tmpl w:val="F9A4A322"/>
    <w:lvl w:ilvl="0" w:tplc="A6AA491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4862B1"/>
    <w:multiLevelType w:val="hybridMultilevel"/>
    <w:tmpl w:val="EADC93CE"/>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9B2560B"/>
    <w:multiLevelType w:val="hybridMultilevel"/>
    <w:tmpl w:val="56F21E52"/>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9EC0890"/>
    <w:multiLevelType w:val="hybridMultilevel"/>
    <w:tmpl w:val="6BCE5C96"/>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4A73A4F"/>
    <w:multiLevelType w:val="hybridMultilevel"/>
    <w:tmpl w:val="7300363A"/>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60E6750"/>
    <w:multiLevelType w:val="hybridMultilevel"/>
    <w:tmpl w:val="8CB0BE6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67C6208"/>
    <w:multiLevelType w:val="hybridMultilevel"/>
    <w:tmpl w:val="7EECB7D0"/>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7736C72"/>
    <w:multiLevelType w:val="hybridMultilevel"/>
    <w:tmpl w:val="1C1EED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388A4743"/>
    <w:multiLevelType w:val="hybridMultilevel"/>
    <w:tmpl w:val="86D29BAA"/>
    <w:lvl w:ilvl="0" w:tplc="A04C205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3AEF3528"/>
    <w:multiLevelType w:val="hybridMultilevel"/>
    <w:tmpl w:val="3CFAAE6E"/>
    <w:lvl w:ilvl="0" w:tplc="BC7C8AFC">
      <w:numFmt w:val="bullet"/>
      <w:lvlText w:val="–"/>
      <w:lvlJc w:val="left"/>
      <w:pPr>
        <w:ind w:left="720" w:hanging="360"/>
      </w:pPr>
      <w:rPr>
        <w:rFonts w:ascii="MatrixOldstyle" w:eastAsia="Times New Roman" w:hAnsi="MatrixOld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3D9C423C"/>
    <w:multiLevelType w:val="hybridMultilevel"/>
    <w:tmpl w:val="94BC9730"/>
    <w:lvl w:ilvl="0" w:tplc="8AF8AC1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3F206C69"/>
    <w:multiLevelType w:val="hybridMultilevel"/>
    <w:tmpl w:val="B19672E2"/>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41C1FB7"/>
    <w:multiLevelType w:val="hybridMultilevel"/>
    <w:tmpl w:val="D588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C97D5A"/>
    <w:multiLevelType w:val="hybridMultilevel"/>
    <w:tmpl w:val="66844E54"/>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96A2FC2"/>
    <w:multiLevelType w:val="hybridMultilevel"/>
    <w:tmpl w:val="AB1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D414B9"/>
    <w:multiLevelType w:val="hybridMultilevel"/>
    <w:tmpl w:val="62EEB082"/>
    <w:lvl w:ilvl="0" w:tplc="BC7C8AFC">
      <w:numFmt w:val="bullet"/>
      <w:lvlText w:val="–"/>
      <w:lvlJc w:val="left"/>
      <w:pPr>
        <w:ind w:left="1068" w:hanging="360"/>
      </w:pPr>
      <w:rPr>
        <w:rFonts w:ascii="MatrixOldstyle" w:eastAsia="Times New Roman" w:hAnsi="MatrixOldstyle"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3">
    <w:nsid w:val="4EB9453D"/>
    <w:multiLevelType w:val="hybridMultilevel"/>
    <w:tmpl w:val="E9260B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nsid w:val="4EEF7421"/>
    <w:multiLevelType w:val="hybridMultilevel"/>
    <w:tmpl w:val="D2C8F72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0470696"/>
    <w:multiLevelType w:val="hybridMultilevel"/>
    <w:tmpl w:val="2606385C"/>
    <w:lvl w:ilvl="0" w:tplc="EEFA924E">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33B362E"/>
    <w:multiLevelType w:val="hybridMultilevel"/>
    <w:tmpl w:val="993E4CB4"/>
    <w:lvl w:ilvl="0" w:tplc="BC7C8AFC">
      <w:numFmt w:val="bullet"/>
      <w:lvlText w:val="–"/>
      <w:lvlJc w:val="left"/>
      <w:pPr>
        <w:ind w:left="1080" w:hanging="360"/>
      </w:pPr>
      <w:rPr>
        <w:rFonts w:ascii="MatrixOldstyle" w:eastAsia="Times New Roman" w:hAnsi="MatrixOldsty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9316F6F"/>
    <w:multiLevelType w:val="hybridMultilevel"/>
    <w:tmpl w:val="00EE206A"/>
    <w:lvl w:ilvl="0" w:tplc="74E030D6">
      <w:start w:val="17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BFD4033"/>
    <w:multiLevelType w:val="hybridMultilevel"/>
    <w:tmpl w:val="AE3A76E0"/>
    <w:lvl w:ilvl="0" w:tplc="0414000F">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9">
    <w:nsid w:val="5DB94304"/>
    <w:multiLevelType w:val="hybridMultilevel"/>
    <w:tmpl w:val="7910E254"/>
    <w:lvl w:ilvl="0" w:tplc="BC7C8AFC">
      <w:numFmt w:val="bullet"/>
      <w:lvlText w:val="–"/>
      <w:lvlJc w:val="left"/>
      <w:pPr>
        <w:ind w:left="1068" w:hanging="360"/>
      </w:pPr>
      <w:rPr>
        <w:rFonts w:ascii="MatrixOldstyle" w:eastAsia="Times New Roman" w:hAnsi="MatrixOldstyle"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0">
    <w:nsid w:val="62E67051"/>
    <w:multiLevelType w:val="hybridMultilevel"/>
    <w:tmpl w:val="4310428C"/>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6547263"/>
    <w:multiLevelType w:val="hybridMultilevel"/>
    <w:tmpl w:val="20BE9CD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8F3078F"/>
    <w:multiLevelType w:val="hybridMultilevel"/>
    <w:tmpl w:val="476089F0"/>
    <w:lvl w:ilvl="0" w:tplc="A6AA491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57073C"/>
    <w:multiLevelType w:val="hybridMultilevel"/>
    <w:tmpl w:val="55B216D4"/>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69843906"/>
    <w:multiLevelType w:val="hybridMultilevel"/>
    <w:tmpl w:val="3454E15A"/>
    <w:lvl w:ilvl="0" w:tplc="6614820A">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0A65A05"/>
    <w:multiLevelType w:val="hybridMultilevel"/>
    <w:tmpl w:val="8A149840"/>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4872910"/>
    <w:multiLevelType w:val="hybridMultilevel"/>
    <w:tmpl w:val="215AE5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nsid w:val="7E706628"/>
    <w:multiLevelType w:val="hybridMultilevel"/>
    <w:tmpl w:val="3ABEE3B8"/>
    <w:lvl w:ilvl="0" w:tplc="0414000F">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7FA12425"/>
    <w:multiLevelType w:val="hybridMultilevel"/>
    <w:tmpl w:val="A7DE65A0"/>
    <w:lvl w:ilvl="0" w:tplc="BC7C8AFC">
      <w:numFmt w:val="bullet"/>
      <w:lvlText w:val="–"/>
      <w:lvlJc w:val="left"/>
      <w:pPr>
        <w:ind w:left="720" w:hanging="360"/>
      </w:pPr>
      <w:rPr>
        <w:rFonts w:ascii="MatrixOldstyle" w:eastAsia="Times New Roman" w:hAnsi="MatrixOld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24"/>
  </w:num>
  <w:num w:numId="5">
    <w:abstractNumId w:val="23"/>
  </w:num>
  <w:num w:numId="6">
    <w:abstractNumId w:val="41"/>
  </w:num>
  <w:num w:numId="7">
    <w:abstractNumId w:val="34"/>
  </w:num>
  <w:num w:numId="8">
    <w:abstractNumId w:val="11"/>
  </w:num>
  <w:num w:numId="9">
    <w:abstractNumId w:val="19"/>
  </w:num>
  <w:num w:numId="10">
    <w:abstractNumId w:val="39"/>
  </w:num>
  <w:num w:numId="11">
    <w:abstractNumId w:val="4"/>
  </w:num>
  <w:num w:numId="12">
    <w:abstractNumId w:val="36"/>
  </w:num>
  <w:num w:numId="13">
    <w:abstractNumId w:val="2"/>
  </w:num>
  <w:num w:numId="14">
    <w:abstractNumId w:val="21"/>
  </w:num>
  <w:num w:numId="15">
    <w:abstractNumId w:val="28"/>
  </w:num>
  <w:num w:numId="16">
    <w:abstractNumId w:val="5"/>
  </w:num>
  <w:num w:numId="17">
    <w:abstractNumId w:val="10"/>
  </w:num>
  <w:num w:numId="18">
    <w:abstractNumId w:val="40"/>
  </w:num>
  <w:num w:numId="19">
    <w:abstractNumId w:val="48"/>
  </w:num>
  <w:num w:numId="20">
    <w:abstractNumId w:val="8"/>
  </w:num>
  <w:num w:numId="21">
    <w:abstractNumId w:val="15"/>
  </w:num>
  <w:num w:numId="22">
    <w:abstractNumId w:val="16"/>
  </w:num>
  <w:num w:numId="23">
    <w:abstractNumId w:val="6"/>
  </w:num>
  <w:num w:numId="24">
    <w:abstractNumId w:val="35"/>
  </w:num>
  <w:num w:numId="25">
    <w:abstractNumId w:val="25"/>
  </w:num>
  <w:num w:numId="26">
    <w:abstractNumId w:val="37"/>
  </w:num>
  <w:num w:numId="27">
    <w:abstractNumId w:val="44"/>
  </w:num>
  <w:num w:numId="28">
    <w:abstractNumId w:val="22"/>
  </w:num>
  <w:num w:numId="29">
    <w:abstractNumId w:val="47"/>
  </w:num>
  <w:num w:numId="30">
    <w:abstractNumId w:val="13"/>
  </w:num>
  <w:num w:numId="31">
    <w:abstractNumId w:val="38"/>
  </w:num>
  <w:num w:numId="32">
    <w:abstractNumId w:val="31"/>
  </w:num>
  <w:num w:numId="33">
    <w:abstractNumId w:val="29"/>
  </w:num>
  <w:num w:numId="34">
    <w:abstractNumId w:val="7"/>
  </w:num>
  <w:num w:numId="35">
    <w:abstractNumId w:val="27"/>
  </w:num>
  <w:num w:numId="36">
    <w:abstractNumId w:val="42"/>
  </w:num>
  <w:num w:numId="37">
    <w:abstractNumId w:val="17"/>
  </w:num>
  <w:num w:numId="38">
    <w:abstractNumId w:val="3"/>
  </w:num>
  <w:num w:numId="39">
    <w:abstractNumId w:val="46"/>
  </w:num>
  <w:num w:numId="40">
    <w:abstractNumId w:val="45"/>
  </w:num>
  <w:num w:numId="41">
    <w:abstractNumId w:val="30"/>
  </w:num>
  <w:num w:numId="42">
    <w:abstractNumId w:val="33"/>
  </w:num>
  <w:num w:numId="43">
    <w:abstractNumId w:val="9"/>
  </w:num>
  <w:num w:numId="44">
    <w:abstractNumId w:val="0"/>
  </w:num>
  <w:num w:numId="45">
    <w:abstractNumId w:val="26"/>
  </w:num>
  <w:num w:numId="46">
    <w:abstractNumId w:val="12"/>
  </w:num>
  <w:num w:numId="47">
    <w:abstractNumId w:val="32"/>
  </w:num>
  <w:num w:numId="48">
    <w:abstractNumId w:val="18"/>
  </w:num>
  <w:num w:numId="4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45"/>
    <w:rsid w:val="00000B81"/>
    <w:rsid w:val="00002F66"/>
    <w:rsid w:val="000100FB"/>
    <w:rsid w:val="00013851"/>
    <w:rsid w:val="00015959"/>
    <w:rsid w:val="00015A1B"/>
    <w:rsid w:val="000166FE"/>
    <w:rsid w:val="00020EBB"/>
    <w:rsid w:val="000217AF"/>
    <w:rsid w:val="0003351E"/>
    <w:rsid w:val="00034E03"/>
    <w:rsid w:val="00040800"/>
    <w:rsid w:val="00040A43"/>
    <w:rsid w:val="0004611C"/>
    <w:rsid w:val="00047A1F"/>
    <w:rsid w:val="00055F9C"/>
    <w:rsid w:val="00057805"/>
    <w:rsid w:val="0006288E"/>
    <w:rsid w:val="0006349C"/>
    <w:rsid w:val="000674F5"/>
    <w:rsid w:val="000748D3"/>
    <w:rsid w:val="00075A69"/>
    <w:rsid w:val="0008008A"/>
    <w:rsid w:val="0008697F"/>
    <w:rsid w:val="00091AD2"/>
    <w:rsid w:val="000A4A2A"/>
    <w:rsid w:val="000A6AE9"/>
    <w:rsid w:val="000A77A6"/>
    <w:rsid w:val="000B0C34"/>
    <w:rsid w:val="000B6578"/>
    <w:rsid w:val="000C381F"/>
    <w:rsid w:val="000D07B1"/>
    <w:rsid w:val="000D2A34"/>
    <w:rsid w:val="000D2BE3"/>
    <w:rsid w:val="000D38DB"/>
    <w:rsid w:val="000D51FF"/>
    <w:rsid w:val="000D61BF"/>
    <w:rsid w:val="000E413B"/>
    <w:rsid w:val="000E682C"/>
    <w:rsid w:val="000E711E"/>
    <w:rsid w:val="000F201F"/>
    <w:rsid w:val="000F6C96"/>
    <w:rsid w:val="00103C7A"/>
    <w:rsid w:val="00107101"/>
    <w:rsid w:val="00111E92"/>
    <w:rsid w:val="00113547"/>
    <w:rsid w:val="00121776"/>
    <w:rsid w:val="00122969"/>
    <w:rsid w:val="00136926"/>
    <w:rsid w:val="00146039"/>
    <w:rsid w:val="00150186"/>
    <w:rsid w:val="00160D07"/>
    <w:rsid w:val="00161A97"/>
    <w:rsid w:val="00166B5A"/>
    <w:rsid w:val="00167F5C"/>
    <w:rsid w:val="00171CCF"/>
    <w:rsid w:val="00177736"/>
    <w:rsid w:val="00180C6F"/>
    <w:rsid w:val="001826FF"/>
    <w:rsid w:val="00182EB0"/>
    <w:rsid w:val="0018685F"/>
    <w:rsid w:val="00190388"/>
    <w:rsid w:val="001922B3"/>
    <w:rsid w:val="00192FAB"/>
    <w:rsid w:val="00193592"/>
    <w:rsid w:val="001A694E"/>
    <w:rsid w:val="001B1ECA"/>
    <w:rsid w:val="001B2ECD"/>
    <w:rsid w:val="001B37DA"/>
    <w:rsid w:val="001B6293"/>
    <w:rsid w:val="001B7E91"/>
    <w:rsid w:val="001C0008"/>
    <w:rsid w:val="001C509A"/>
    <w:rsid w:val="001C5B44"/>
    <w:rsid w:val="001C768B"/>
    <w:rsid w:val="001C7DC8"/>
    <w:rsid w:val="001D068B"/>
    <w:rsid w:val="001D75CA"/>
    <w:rsid w:val="001E3A1E"/>
    <w:rsid w:val="001E5580"/>
    <w:rsid w:val="001E691B"/>
    <w:rsid w:val="001E7DD3"/>
    <w:rsid w:val="001F409E"/>
    <w:rsid w:val="001F4950"/>
    <w:rsid w:val="001F5CA4"/>
    <w:rsid w:val="001F7918"/>
    <w:rsid w:val="00200345"/>
    <w:rsid w:val="0020105C"/>
    <w:rsid w:val="00202543"/>
    <w:rsid w:val="00203A20"/>
    <w:rsid w:val="002103B6"/>
    <w:rsid w:val="00216BDA"/>
    <w:rsid w:val="00223223"/>
    <w:rsid w:val="00223625"/>
    <w:rsid w:val="002255AC"/>
    <w:rsid w:val="002325F9"/>
    <w:rsid w:val="00234D62"/>
    <w:rsid w:val="002368CD"/>
    <w:rsid w:val="00247E5B"/>
    <w:rsid w:val="0025397B"/>
    <w:rsid w:val="00253AA2"/>
    <w:rsid w:val="0026252F"/>
    <w:rsid w:val="00270714"/>
    <w:rsid w:val="002744E5"/>
    <w:rsid w:val="00276C4D"/>
    <w:rsid w:val="00281F25"/>
    <w:rsid w:val="002840B8"/>
    <w:rsid w:val="00293D8A"/>
    <w:rsid w:val="002A39CE"/>
    <w:rsid w:val="002A4621"/>
    <w:rsid w:val="002B2E01"/>
    <w:rsid w:val="002C4A56"/>
    <w:rsid w:val="002E6733"/>
    <w:rsid w:val="002F06A7"/>
    <w:rsid w:val="002F0A6D"/>
    <w:rsid w:val="002F2446"/>
    <w:rsid w:val="002F31B8"/>
    <w:rsid w:val="002F45AA"/>
    <w:rsid w:val="002F701B"/>
    <w:rsid w:val="002F7658"/>
    <w:rsid w:val="00302171"/>
    <w:rsid w:val="003113FC"/>
    <w:rsid w:val="00315D8E"/>
    <w:rsid w:val="00315EDD"/>
    <w:rsid w:val="003171F9"/>
    <w:rsid w:val="003245E6"/>
    <w:rsid w:val="00325837"/>
    <w:rsid w:val="00327FF5"/>
    <w:rsid w:val="003303A7"/>
    <w:rsid w:val="00330FD7"/>
    <w:rsid w:val="00334E5A"/>
    <w:rsid w:val="0034012D"/>
    <w:rsid w:val="00347524"/>
    <w:rsid w:val="003525DE"/>
    <w:rsid w:val="00354AA6"/>
    <w:rsid w:val="00354F86"/>
    <w:rsid w:val="00363737"/>
    <w:rsid w:val="00370752"/>
    <w:rsid w:val="00371B8C"/>
    <w:rsid w:val="003818D5"/>
    <w:rsid w:val="00387043"/>
    <w:rsid w:val="00394869"/>
    <w:rsid w:val="003A663F"/>
    <w:rsid w:val="003A6667"/>
    <w:rsid w:val="003B3415"/>
    <w:rsid w:val="003B7DC9"/>
    <w:rsid w:val="003C08D0"/>
    <w:rsid w:val="003C49B8"/>
    <w:rsid w:val="003D2F8F"/>
    <w:rsid w:val="003D59AC"/>
    <w:rsid w:val="003D64FC"/>
    <w:rsid w:val="003E11F9"/>
    <w:rsid w:val="003E5D56"/>
    <w:rsid w:val="003E6305"/>
    <w:rsid w:val="003F2C7C"/>
    <w:rsid w:val="003F3DDE"/>
    <w:rsid w:val="003F4D77"/>
    <w:rsid w:val="003F5D00"/>
    <w:rsid w:val="0040216D"/>
    <w:rsid w:val="004059FC"/>
    <w:rsid w:val="00412E38"/>
    <w:rsid w:val="00422ADA"/>
    <w:rsid w:val="004233D0"/>
    <w:rsid w:val="004361CB"/>
    <w:rsid w:val="004362D4"/>
    <w:rsid w:val="004364A0"/>
    <w:rsid w:val="00437A0C"/>
    <w:rsid w:val="0045055E"/>
    <w:rsid w:val="00456CC9"/>
    <w:rsid w:val="00460B16"/>
    <w:rsid w:val="00462D7F"/>
    <w:rsid w:val="00466797"/>
    <w:rsid w:val="004725EF"/>
    <w:rsid w:val="0047528B"/>
    <w:rsid w:val="00480391"/>
    <w:rsid w:val="00484944"/>
    <w:rsid w:val="00485325"/>
    <w:rsid w:val="004961E3"/>
    <w:rsid w:val="00496D64"/>
    <w:rsid w:val="004A6B52"/>
    <w:rsid w:val="004B6BD1"/>
    <w:rsid w:val="004C3F33"/>
    <w:rsid w:val="004E03B3"/>
    <w:rsid w:val="004E4BD0"/>
    <w:rsid w:val="004E5FE0"/>
    <w:rsid w:val="004F5353"/>
    <w:rsid w:val="00501DB2"/>
    <w:rsid w:val="00512AEF"/>
    <w:rsid w:val="00514950"/>
    <w:rsid w:val="00524BFD"/>
    <w:rsid w:val="00531B21"/>
    <w:rsid w:val="00531BB6"/>
    <w:rsid w:val="005529E5"/>
    <w:rsid w:val="0056716C"/>
    <w:rsid w:val="00591CC4"/>
    <w:rsid w:val="005928A4"/>
    <w:rsid w:val="00597B4E"/>
    <w:rsid w:val="005B0DF4"/>
    <w:rsid w:val="005B177C"/>
    <w:rsid w:val="005B5D24"/>
    <w:rsid w:val="005B63BA"/>
    <w:rsid w:val="005B7788"/>
    <w:rsid w:val="005C7D38"/>
    <w:rsid w:val="005C7EDC"/>
    <w:rsid w:val="005D1BC3"/>
    <w:rsid w:val="005D501D"/>
    <w:rsid w:val="005E1AB1"/>
    <w:rsid w:val="005E5EF9"/>
    <w:rsid w:val="005F55F5"/>
    <w:rsid w:val="00604A2B"/>
    <w:rsid w:val="00606FCD"/>
    <w:rsid w:val="00611061"/>
    <w:rsid w:val="00614396"/>
    <w:rsid w:val="00615FC6"/>
    <w:rsid w:val="0061769C"/>
    <w:rsid w:val="00626A28"/>
    <w:rsid w:val="006319AF"/>
    <w:rsid w:val="00634DC7"/>
    <w:rsid w:val="00635123"/>
    <w:rsid w:val="00641B9E"/>
    <w:rsid w:val="00646316"/>
    <w:rsid w:val="00650046"/>
    <w:rsid w:val="0065201A"/>
    <w:rsid w:val="00656579"/>
    <w:rsid w:val="00656876"/>
    <w:rsid w:val="00657017"/>
    <w:rsid w:val="00661FEC"/>
    <w:rsid w:val="006628B7"/>
    <w:rsid w:val="00665406"/>
    <w:rsid w:val="00667762"/>
    <w:rsid w:val="006724CC"/>
    <w:rsid w:val="00675041"/>
    <w:rsid w:val="00685692"/>
    <w:rsid w:val="00692FA6"/>
    <w:rsid w:val="00694484"/>
    <w:rsid w:val="006A3408"/>
    <w:rsid w:val="006B3917"/>
    <w:rsid w:val="006C2718"/>
    <w:rsid w:val="006C43D2"/>
    <w:rsid w:val="006D6E71"/>
    <w:rsid w:val="006E1D2A"/>
    <w:rsid w:val="006E7DED"/>
    <w:rsid w:val="006F4062"/>
    <w:rsid w:val="00700B6D"/>
    <w:rsid w:val="00707A2F"/>
    <w:rsid w:val="00711270"/>
    <w:rsid w:val="0071790F"/>
    <w:rsid w:val="00723B69"/>
    <w:rsid w:val="007264F7"/>
    <w:rsid w:val="007431F6"/>
    <w:rsid w:val="00743656"/>
    <w:rsid w:val="00743F53"/>
    <w:rsid w:val="0074499A"/>
    <w:rsid w:val="00746F25"/>
    <w:rsid w:val="00747577"/>
    <w:rsid w:val="0075216C"/>
    <w:rsid w:val="00753908"/>
    <w:rsid w:val="00755356"/>
    <w:rsid w:val="00757FE5"/>
    <w:rsid w:val="0076364C"/>
    <w:rsid w:val="00764CF1"/>
    <w:rsid w:val="00764D6F"/>
    <w:rsid w:val="00767160"/>
    <w:rsid w:val="00767ADC"/>
    <w:rsid w:val="00775211"/>
    <w:rsid w:val="007753EB"/>
    <w:rsid w:val="00781EB9"/>
    <w:rsid w:val="00787C51"/>
    <w:rsid w:val="007918B1"/>
    <w:rsid w:val="007938F9"/>
    <w:rsid w:val="007964CA"/>
    <w:rsid w:val="007A1DB8"/>
    <w:rsid w:val="007C1274"/>
    <w:rsid w:val="007C42A6"/>
    <w:rsid w:val="007C4F68"/>
    <w:rsid w:val="007C5A5E"/>
    <w:rsid w:val="007C652B"/>
    <w:rsid w:val="007D5D2A"/>
    <w:rsid w:val="007E42E6"/>
    <w:rsid w:val="007E4BAD"/>
    <w:rsid w:val="007F36E9"/>
    <w:rsid w:val="007F6E6E"/>
    <w:rsid w:val="007F6F69"/>
    <w:rsid w:val="00800CFC"/>
    <w:rsid w:val="00801281"/>
    <w:rsid w:val="00803DE3"/>
    <w:rsid w:val="00807547"/>
    <w:rsid w:val="00807E9D"/>
    <w:rsid w:val="00810DB7"/>
    <w:rsid w:val="00826B3B"/>
    <w:rsid w:val="00826EBC"/>
    <w:rsid w:val="00830D0A"/>
    <w:rsid w:val="00841FE4"/>
    <w:rsid w:val="00842F49"/>
    <w:rsid w:val="00850EF4"/>
    <w:rsid w:val="00853B25"/>
    <w:rsid w:val="00856948"/>
    <w:rsid w:val="00860CD6"/>
    <w:rsid w:val="00864B38"/>
    <w:rsid w:val="0086675E"/>
    <w:rsid w:val="00872597"/>
    <w:rsid w:val="008727D8"/>
    <w:rsid w:val="00874153"/>
    <w:rsid w:val="00877FE8"/>
    <w:rsid w:val="008870C4"/>
    <w:rsid w:val="00887356"/>
    <w:rsid w:val="008968C6"/>
    <w:rsid w:val="008B2BC4"/>
    <w:rsid w:val="008B4628"/>
    <w:rsid w:val="008B79EF"/>
    <w:rsid w:val="008C155D"/>
    <w:rsid w:val="008C5695"/>
    <w:rsid w:val="008D0EBD"/>
    <w:rsid w:val="008D2035"/>
    <w:rsid w:val="008D2C5E"/>
    <w:rsid w:val="008D2D45"/>
    <w:rsid w:val="008D4723"/>
    <w:rsid w:val="008E1A4C"/>
    <w:rsid w:val="008F2DC4"/>
    <w:rsid w:val="008F5EEF"/>
    <w:rsid w:val="008F6FF2"/>
    <w:rsid w:val="0090239F"/>
    <w:rsid w:val="00903383"/>
    <w:rsid w:val="009037FD"/>
    <w:rsid w:val="00903F2D"/>
    <w:rsid w:val="00903FDA"/>
    <w:rsid w:val="00907988"/>
    <w:rsid w:val="00917D2A"/>
    <w:rsid w:val="00920637"/>
    <w:rsid w:val="00920856"/>
    <w:rsid w:val="009211B6"/>
    <w:rsid w:val="00925416"/>
    <w:rsid w:val="00925BF3"/>
    <w:rsid w:val="00932472"/>
    <w:rsid w:val="009357E4"/>
    <w:rsid w:val="009379DD"/>
    <w:rsid w:val="00943207"/>
    <w:rsid w:val="009502AB"/>
    <w:rsid w:val="009545BC"/>
    <w:rsid w:val="00956A50"/>
    <w:rsid w:val="009627A8"/>
    <w:rsid w:val="00964C14"/>
    <w:rsid w:val="00967E66"/>
    <w:rsid w:val="00970CAE"/>
    <w:rsid w:val="00971CC4"/>
    <w:rsid w:val="00976D23"/>
    <w:rsid w:val="009845B6"/>
    <w:rsid w:val="009905D9"/>
    <w:rsid w:val="00991123"/>
    <w:rsid w:val="009945BD"/>
    <w:rsid w:val="009946AC"/>
    <w:rsid w:val="00994EDC"/>
    <w:rsid w:val="009A4ECB"/>
    <w:rsid w:val="009A5A6C"/>
    <w:rsid w:val="009A6E7D"/>
    <w:rsid w:val="009B1BB1"/>
    <w:rsid w:val="009B46E5"/>
    <w:rsid w:val="009B4FAC"/>
    <w:rsid w:val="009B6ACF"/>
    <w:rsid w:val="009C1276"/>
    <w:rsid w:val="009C3CB2"/>
    <w:rsid w:val="009C54E7"/>
    <w:rsid w:val="009C6870"/>
    <w:rsid w:val="009D2444"/>
    <w:rsid w:val="009D43D4"/>
    <w:rsid w:val="009D6955"/>
    <w:rsid w:val="009E2B05"/>
    <w:rsid w:val="009E79AF"/>
    <w:rsid w:val="009F1081"/>
    <w:rsid w:val="00A054BD"/>
    <w:rsid w:val="00A143B3"/>
    <w:rsid w:val="00A14D8F"/>
    <w:rsid w:val="00A17C39"/>
    <w:rsid w:val="00A241B3"/>
    <w:rsid w:val="00A2535C"/>
    <w:rsid w:val="00A34345"/>
    <w:rsid w:val="00A361C9"/>
    <w:rsid w:val="00A42F8A"/>
    <w:rsid w:val="00A4462B"/>
    <w:rsid w:val="00A46246"/>
    <w:rsid w:val="00A46C79"/>
    <w:rsid w:val="00A534B1"/>
    <w:rsid w:val="00A56EF3"/>
    <w:rsid w:val="00A72D59"/>
    <w:rsid w:val="00A7457B"/>
    <w:rsid w:val="00A75356"/>
    <w:rsid w:val="00A81C91"/>
    <w:rsid w:val="00A837B7"/>
    <w:rsid w:val="00A84585"/>
    <w:rsid w:val="00A84D3B"/>
    <w:rsid w:val="00A8508A"/>
    <w:rsid w:val="00A861FB"/>
    <w:rsid w:val="00A90BEE"/>
    <w:rsid w:val="00A93B71"/>
    <w:rsid w:val="00A95A8F"/>
    <w:rsid w:val="00A96C6B"/>
    <w:rsid w:val="00AA324F"/>
    <w:rsid w:val="00AA75E7"/>
    <w:rsid w:val="00AB1A80"/>
    <w:rsid w:val="00AB2174"/>
    <w:rsid w:val="00AB2898"/>
    <w:rsid w:val="00AB43A8"/>
    <w:rsid w:val="00AB4FC6"/>
    <w:rsid w:val="00AB762E"/>
    <w:rsid w:val="00AC07A9"/>
    <w:rsid w:val="00AC1F2B"/>
    <w:rsid w:val="00AC3438"/>
    <w:rsid w:val="00AC47A8"/>
    <w:rsid w:val="00AE2742"/>
    <w:rsid w:val="00AE366A"/>
    <w:rsid w:val="00AE43BB"/>
    <w:rsid w:val="00AF0D09"/>
    <w:rsid w:val="00AF50B2"/>
    <w:rsid w:val="00AF7982"/>
    <w:rsid w:val="00B11596"/>
    <w:rsid w:val="00B13B8A"/>
    <w:rsid w:val="00B15ECD"/>
    <w:rsid w:val="00B1633D"/>
    <w:rsid w:val="00B2646B"/>
    <w:rsid w:val="00B34370"/>
    <w:rsid w:val="00B34AB1"/>
    <w:rsid w:val="00B37500"/>
    <w:rsid w:val="00B37DF8"/>
    <w:rsid w:val="00B40CDC"/>
    <w:rsid w:val="00B427AC"/>
    <w:rsid w:val="00B428BF"/>
    <w:rsid w:val="00B42B61"/>
    <w:rsid w:val="00B42BA9"/>
    <w:rsid w:val="00B44A9E"/>
    <w:rsid w:val="00B44BE7"/>
    <w:rsid w:val="00B55654"/>
    <w:rsid w:val="00B56D35"/>
    <w:rsid w:val="00B61E0D"/>
    <w:rsid w:val="00B6418E"/>
    <w:rsid w:val="00B71E11"/>
    <w:rsid w:val="00B933FE"/>
    <w:rsid w:val="00B96DF9"/>
    <w:rsid w:val="00BA02C2"/>
    <w:rsid w:val="00BA0513"/>
    <w:rsid w:val="00BA1B1C"/>
    <w:rsid w:val="00BA20EE"/>
    <w:rsid w:val="00BA68EE"/>
    <w:rsid w:val="00BB2E01"/>
    <w:rsid w:val="00BB6DCC"/>
    <w:rsid w:val="00BB7D2C"/>
    <w:rsid w:val="00BC0B07"/>
    <w:rsid w:val="00BC0C4F"/>
    <w:rsid w:val="00BC59BC"/>
    <w:rsid w:val="00BD65BE"/>
    <w:rsid w:val="00BD787D"/>
    <w:rsid w:val="00BE3985"/>
    <w:rsid w:val="00BF0DEC"/>
    <w:rsid w:val="00BF28D9"/>
    <w:rsid w:val="00BF2C3B"/>
    <w:rsid w:val="00BF419E"/>
    <w:rsid w:val="00BF4784"/>
    <w:rsid w:val="00C00FDF"/>
    <w:rsid w:val="00C01608"/>
    <w:rsid w:val="00C053DB"/>
    <w:rsid w:val="00C07BC0"/>
    <w:rsid w:val="00C07E2E"/>
    <w:rsid w:val="00C12F16"/>
    <w:rsid w:val="00C14A7A"/>
    <w:rsid w:val="00C14CE0"/>
    <w:rsid w:val="00C23B59"/>
    <w:rsid w:val="00C24A7E"/>
    <w:rsid w:val="00C24B22"/>
    <w:rsid w:val="00C26BFE"/>
    <w:rsid w:val="00C3302E"/>
    <w:rsid w:val="00C42664"/>
    <w:rsid w:val="00C4771F"/>
    <w:rsid w:val="00C61C09"/>
    <w:rsid w:val="00C7226D"/>
    <w:rsid w:val="00C7562A"/>
    <w:rsid w:val="00C76E26"/>
    <w:rsid w:val="00C77442"/>
    <w:rsid w:val="00C904E3"/>
    <w:rsid w:val="00C950A8"/>
    <w:rsid w:val="00CA10E9"/>
    <w:rsid w:val="00CA2BAD"/>
    <w:rsid w:val="00CA5A0B"/>
    <w:rsid w:val="00CA7464"/>
    <w:rsid w:val="00CB3579"/>
    <w:rsid w:val="00CB43D0"/>
    <w:rsid w:val="00CC047B"/>
    <w:rsid w:val="00CC14B5"/>
    <w:rsid w:val="00CC2C2B"/>
    <w:rsid w:val="00CC65E2"/>
    <w:rsid w:val="00CC732A"/>
    <w:rsid w:val="00CC7C39"/>
    <w:rsid w:val="00CD6A8F"/>
    <w:rsid w:val="00CE1FE9"/>
    <w:rsid w:val="00CE705D"/>
    <w:rsid w:val="00CF5B84"/>
    <w:rsid w:val="00D05B5C"/>
    <w:rsid w:val="00D11C50"/>
    <w:rsid w:val="00D14072"/>
    <w:rsid w:val="00D14B85"/>
    <w:rsid w:val="00D15BBB"/>
    <w:rsid w:val="00D15C1F"/>
    <w:rsid w:val="00D21EEA"/>
    <w:rsid w:val="00D22F0B"/>
    <w:rsid w:val="00D2584A"/>
    <w:rsid w:val="00D258D1"/>
    <w:rsid w:val="00D37625"/>
    <w:rsid w:val="00D408C0"/>
    <w:rsid w:val="00D42A14"/>
    <w:rsid w:val="00D44794"/>
    <w:rsid w:val="00D44F42"/>
    <w:rsid w:val="00D47F03"/>
    <w:rsid w:val="00D50AC6"/>
    <w:rsid w:val="00D6295B"/>
    <w:rsid w:val="00D62C43"/>
    <w:rsid w:val="00D63393"/>
    <w:rsid w:val="00D64CD2"/>
    <w:rsid w:val="00D663BB"/>
    <w:rsid w:val="00D67FFB"/>
    <w:rsid w:val="00D7003A"/>
    <w:rsid w:val="00D736B9"/>
    <w:rsid w:val="00D91B64"/>
    <w:rsid w:val="00D92C38"/>
    <w:rsid w:val="00D93A61"/>
    <w:rsid w:val="00D95927"/>
    <w:rsid w:val="00DA2770"/>
    <w:rsid w:val="00DA3052"/>
    <w:rsid w:val="00DA34F4"/>
    <w:rsid w:val="00DA4517"/>
    <w:rsid w:val="00DB7A97"/>
    <w:rsid w:val="00DC4DB1"/>
    <w:rsid w:val="00DD0CD0"/>
    <w:rsid w:val="00DD3433"/>
    <w:rsid w:val="00DE5B72"/>
    <w:rsid w:val="00DE5F76"/>
    <w:rsid w:val="00DE701E"/>
    <w:rsid w:val="00DF0DCA"/>
    <w:rsid w:val="00DF3415"/>
    <w:rsid w:val="00E03BE5"/>
    <w:rsid w:val="00E0415D"/>
    <w:rsid w:val="00E33DD4"/>
    <w:rsid w:val="00E34826"/>
    <w:rsid w:val="00E34AB5"/>
    <w:rsid w:val="00E3553B"/>
    <w:rsid w:val="00E37DFB"/>
    <w:rsid w:val="00E46B4A"/>
    <w:rsid w:val="00E46BE2"/>
    <w:rsid w:val="00E47AE3"/>
    <w:rsid w:val="00E523BA"/>
    <w:rsid w:val="00E667DA"/>
    <w:rsid w:val="00E6791B"/>
    <w:rsid w:val="00E71A7A"/>
    <w:rsid w:val="00E721CA"/>
    <w:rsid w:val="00E739FF"/>
    <w:rsid w:val="00E73D99"/>
    <w:rsid w:val="00E82DAC"/>
    <w:rsid w:val="00E83B21"/>
    <w:rsid w:val="00E92D93"/>
    <w:rsid w:val="00E9370E"/>
    <w:rsid w:val="00E95041"/>
    <w:rsid w:val="00EA3D94"/>
    <w:rsid w:val="00EA5139"/>
    <w:rsid w:val="00EA73A4"/>
    <w:rsid w:val="00EC4BA3"/>
    <w:rsid w:val="00EC692B"/>
    <w:rsid w:val="00ED46F3"/>
    <w:rsid w:val="00EE33ED"/>
    <w:rsid w:val="00EE632C"/>
    <w:rsid w:val="00EF3D5C"/>
    <w:rsid w:val="00EF40D7"/>
    <w:rsid w:val="00EF6560"/>
    <w:rsid w:val="00F0094A"/>
    <w:rsid w:val="00F02C7A"/>
    <w:rsid w:val="00F02D13"/>
    <w:rsid w:val="00F0514A"/>
    <w:rsid w:val="00F067C3"/>
    <w:rsid w:val="00F07EDF"/>
    <w:rsid w:val="00F10D73"/>
    <w:rsid w:val="00F13DB4"/>
    <w:rsid w:val="00F14AAE"/>
    <w:rsid w:val="00F23A39"/>
    <w:rsid w:val="00F24E3D"/>
    <w:rsid w:val="00F31CF6"/>
    <w:rsid w:val="00F42BB6"/>
    <w:rsid w:val="00F459E9"/>
    <w:rsid w:val="00F465E1"/>
    <w:rsid w:val="00F53167"/>
    <w:rsid w:val="00F668B9"/>
    <w:rsid w:val="00F7266E"/>
    <w:rsid w:val="00F754D8"/>
    <w:rsid w:val="00F807D8"/>
    <w:rsid w:val="00F82758"/>
    <w:rsid w:val="00F906C3"/>
    <w:rsid w:val="00F92FB1"/>
    <w:rsid w:val="00FA1B5E"/>
    <w:rsid w:val="00FB0E79"/>
    <w:rsid w:val="00FB1125"/>
    <w:rsid w:val="00FB17E0"/>
    <w:rsid w:val="00FB1EC9"/>
    <w:rsid w:val="00FB34AA"/>
    <w:rsid w:val="00FC2C8A"/>
    <w:rsid w:val="00FC6A3F"/>
    <w:rsid w:val="00FD3976"/>
    <w:rsid w:val="00FD750B"/>
    <w:rsid w:val="00FE1D2C"/>
    <w:rsid w:val="00FE226E"/>
    <w:rsid w:val="00FE2599"/>
    <w:rsid w:val="00FE5E6F"/>
    <w:rsid w:val="00FF4945"/>
    <w:rsid w:val="00FF67E1"/>
    <w:rsid w:val="00FF789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91"/>
    <w:pPr>
      <w:spacing w:after="160" w:line="259" w:lineRule="auto"/>
    </w:pPr>
    <w:rPr>
      <w:lang w:val="en-US"/>
    </w:rPr>
  </w:style>
  <w:style w:type="paragraph" w:styleId="Overskrift1">
    <w:name w:val="heading 1"/>
    <w:basedOn w:val="Normal"/>
    <w:next w:val="Normal"/>
    <w:link w:val="Overskrift1Tegn"/>
    <w:uiPriority w:val="9"/>
    <w:qFormat/>
    <w:rsid w:val="0020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0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034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00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00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0034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0034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0034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00345"/>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200345"/>
    <w:pPr>
      <w:ind w:left="720"/>
      <w:contextualSpacing/>
    </w:pPr>
  </w:style>
  <w:style w:type="character" w:customStyle="1" w:styleId="Overskrift4Tegn">
    <w:name w:val="Overskrift 4 Tegn"/>
    <w:basedOn w:val="Standardskriftforavsnitt"/>
    <w:link w:val="Overskrift4"/>
    <w:uiPriority w:val="9"/>
    <w:rsid w:val="0020034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845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A3D94"/>
    <w:rPr>
      <w:color w:val="0000FF" w:themeColor="hyperlink"/>
      <w:u w:val="single"/>
    </w:rPr>
  </w:style>
  <w:style w:type="character" w:customStyle="1" w:styleId="apple-converted-space">
    <w:name w:val="apple-converted-space"/>
    <w:basedOn w:val="Standardskriftforavsnitt"/>
    <w:rsid w:val="00B44A9E"/>
  </w:style>
  <w:style w:type="paragraph" w:styleId="Bobletekst">
    <w:name w:val="Balloon Text"/>
    <w:basedOn w:val="Normal"/>
    <w:link w:val="BobletekstTegn"/>
    <w:uiPriority w:val="99"/>
    <w:semiHidden/>
    <w:unhideWhenUsed/>
    <w:rsid w:val="003F5D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5D00"/>
    <w:rPr>
      <w:rFonts w:ascii="Segoe UI" w:hAnsi="Segoe UI" w:cs="Segoe UI"/>
      <w:sz w:val="18"/>
      <w:szCs w:val="18"/>
    </w:rPr>
  </w:style>
  <w:style w:type="paragraph" w:styleId="Topptekst">
    <w:name w:val="header"/>
    <w:basedOn w:val="Normal"/>
    <w:link w:val="TopptekstTegn"/>
    <w:uiPriority w:val="99"/>
    <w:unhideWhenUsed/>
    <w:rsid w:val="004803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0391"/>
  </w:style>
  <w:style w:type="paragraph" w:styleId="Bunntekst">
    <w:name w:val="footer"/>
    <w:basedOn w:val="Normal"/>
    <w:link w:val="BunntekstTegn"/>
    <w:uiPriority w:val="99"/>
    <w:unhideWhenUsed/>
    <w:rsid w:val="004803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0391"/>
  </w:style>
  <w:style w:type="character" w:styleId="Sterkutheving">
    <w:name w:val="Intense Emphasis"/>
    <w:basedOn w:val="Standardskriftforavsnitt"/>
    <w:uiPriority w:val="21"/>
    <w:qFormat/>
    <w:rsid w:val="00480391"/>
    <w:rPr>
      <w:i/>
      <w:iCs/>
      <w:color w:val="4F81BD" w:themeColor="accent1"/>
    </w:rPr>
  </w:style>
  <w:style w:type="character" w:styleId="Sterk">
    <w:name w:val="Strong"/>
    <w:basedOn w:val="Standardskriftforavsnitt"/>
    <w:uiPriority w:val="22"/>
    <w:qFormat/>
    <w:rsid w:val="009B1BB1"/>
    <w:rPr>
      <w:b/>
      <w:bCs/>
    </w:rPr>
  </w:style>
  <w:style w:type="paragraph" w:styleId="Fotnotetekst">
    <w:name w:val="footnote text"/>
    <w:aliases w:val="Fußnotentext RAXEN,footnotes,Footnote Text Char,Footnote Text Char2 Char,Footnote Text Char Char1 Char,Footnote Text Char2 Char Char Char,Footnote Text Char1 Char Char Char Char,Footnote Text Char Char Char Char Char Char,single space"/>
    <w:basedOn w:val="Normal"/>
    <w:link w:val="FotnotetekstTegn"/>
    <w:uiPriority w:val="99"/>
    <w:unhideWhenUsed/>
    <w:rsid w:val="009B1BB1"/>
    <w:pPr>
      <w:spacing w:after="0" w:line="240" w:lineRule="auto"/>
    </w:pPr>
    <w:rPr>
      <w:sz w:val="20"/>
      <w:szCs w:val="20"/>
    </w:rPr>
  </w:style>
  <w:style w:type="character" w:customStyle="1" w:styleId="FotnotetekstTegn">
    <w:name w:val="Fotnotetekst Tegn"/>
    <w:aliases w:val="Fußnotentext RAXEN Tegn,footnotes Tegn,Footnote Text Char Tegn,Footnote Text Char2 Char Tegn,Footnote Text Char Char1 Char Tegn,Footnote Text Char2 Char Char Char Tegn,Footnote Text Char1 Char Char Char Char Tegn,single space Tegn"/>
    <w:basedOn w:val="Standardskriftforavsnitt"/>
    <w:link w:val="Fotnotetekst"/>
    <w:uiPriority w:val="99"/>
    <w:rsid w:val="009B1BB1"/>
    <w:rPr>
      <w:sz w:val="20"/>
      <w:szCs w:val="20"/>
      <w:lang w:val="en-US"/>
    </w:rPr>
  </w:style>
  <w:style w:type="character" w:styleId="Fotnotereferanse">
    <w:name w:val="footnote reference"/>
    <w:aliases w:val="Footnote Refernece,Footnote Reference Superscript,Footnote Reference in text,FZ,Appel note de bas de p."/>
    <w:basedOn w:val="Standardskriftforavsnitt"/>
    <w:uiPriority w:val="99"/>
    <w:unhideWhenUsed/>
    <w:rsid w:val="009B1BB1"/>
    <w:rPr>
      <w:vertAlign w:val="superscript"/>
    </w:rPr>
  </w:style>
  <w:style w:type="paragraph" w:customStyle="1" w:styleId="Default">
    <w:name w:val="Default"/>
    <w:rsid w:val="00C76E26"/>
    <w:pPr>
      <w:autoSpaceDE w:val="0"/>
      <w:autoSpaceDN w:val="0"/>
      <w:adjustRightInd w:val="0"/>
      <w:spacing w:after="0" w:line="240" w:lineRule="auto"/>
    </w:pPr>
    <w:rPr>
      <w:rFonts w:ascii="Calibri" w:hAnsi="Calibri" w:cs="Calibri"/>
      <w:color w:val="000000"/>
      <w:sz w:val="24"/>
      <w:szCs w:val="24"/>
      <w:lang w:val="en-US"/>
    </w:rPr>
  </w:style>
  <w:style w:type="paragraph" w:styleId="Brdtekstinnrykk3">
    <w:name w:val="Body Text Indent 3"/>
    <w:basedOn w:val="Normal"/>
    <w:link w:val="Brdtekstinnrykk3Tegn"/>
    <w:semiHidden/>
    <w:rsid w:val="001826FF"/>
    <w:pPr>
      <w:numPr>
        <w:ilvl w:val="12"/>
      </w:numPr>
      <w:overflowPunct w:val="0"/>
      <w:autoSpaceDE w:val="0"/>
      <w:autoSpaceDN w:val="0"/>
      <w:adjustRightInd w:val="0"/>
      <w:spacing w:after="0" w:line="240" w:lineRule="auto"/>
      <w:ind w:left="283"/>
      <w:textAlignment w:val="baseline"/>
    </w:pPr>
    <w:rPr>
      <w:rFonts w:ascii="Times New Roman" w:eastAsia="Times New Roman" w:hAnsi="Times New Roman" w:cs="Times New Roman"/>
      <w:i/>
      <w:sz w:val="24"/>
      <w:szCs w:val="20"/>
      <w:lang w:val="nb-NO" w:eastAsia="nb-NO"/>
    </w:rPr>
  </w:style>
  <w:style w:type="character" w:customStyle="1" w:styleId="Brdtekstinnrykk3Tegn">
    <w:name w:val="Brødtekstinnrykk 3 Tegn"/>
    <w:basedOn w:val="Standardskriftforavsnitt"/>
    <w:link w:val="Brdtekstinnrykk3"/>
    <w:semiHidden/>
    <w:rsid w:val="001826FF"/>
    <w:rPr>
      <w:rFonts w:ascii="Times New Roman" w:eastAsia="Times New Roman" w:hAnsi="Times New Roman" w:cs="Times New Roman"/>
      <w:i/>
      <w:sz w:val="24"/>
      <w:szCs w:val="20"/>
      <w:lang w:eastAsia="nb-NO"/>
    </w:rPr>
  </w:style>
  <w:style w:type="character" w:styleId="Utheving">
    <w:name w:val="Emphasis"/>
    <w:aliases w:val="Recommendation"/>
    <w:basedOn w:val="Standardskriftforavsnitt"/>
    <w:uiPriority w:val="20"/>
    <w:qFormat/>
    <w:rsid w:val="004364A0"/>
    <w:rPr>
      <w:b/>
      <w:bCs w:val="0"/>
      <w:i w:val="0"/>
      <w:iCs w:val="0"/>
      <w:lang w:val="en-US"/>
    </w:rPr>
  </w:style>
  <w:style w:type="paragraph" w:customStyle="1" w:styleId="Ingenmellomrom1">
    <w:name w:val="Ingen mellomrom1"/>
    <w:uiPriority w:val="1"/>
    <w:qFormat/>
    <w:rsid w:val="004364A0"/>
    <w:pPr>
      <w:spacing w:after="0" w:line="240" w:lineRule="auto"/>
    </w:pPr>
    <w:rPr>
      <w:rFonts w:ascii="Calibri" w:eastAsia="Calibri" w:hAnsi="Calibri" w:cs="Times New Roman"/>
      <w:lang w:val="en-US"/>
    </w:rPr>
  </w:style>
  <w:style w:type="paragraph" w:styleId="Merknadstekst">
    <w:name w:val="annotation text"/>
    <w:basedOn w:val="Normal"/>
    <w:link w:val="MerknadstekstTegn"/>
    <w:uiPriority w:val="99"/>
    <w:unhideWhenUsed/>
    <w:rsid w:val="004364A0"/>
    <w:pPr>
      <w:spacing w:line="240" w:lineRule="auto"/>
    </w:pPr>
    <w:rPr>
      <w:sz w:val="20"/>
      <w:szCs w:val="20"/>
      <w:lang w:val="nb-NO"/>
    </w:rPr>
  </w:style>
  <w:style w:type="character" w:customStyle="1" w:styleId="MerknadstekstTegn">
    <w:name w:val="Merknadstekst Tegn"/>
    <w:basedOn w:val="Standardskriftforavsnitt"/>
    <w:link w:val="Merknadstekst"/>
    <w:uiPriority w:val="99"/>
    <w:rsid w:val="004364A0"/>
    <w:rPr>
      <w:sz w:val="20"/>
      <w:szCs w:val="20"/>
    </w:rPr>
  </w:style>
  <w:style w:type="paragraph" w:styleId="Overskriftforinnholdsfortegnelse">
    <w:name w:val="TOC Heading"/>
    <w:basedOn w:val="Overskrift1"/>
    <w:next w:val="Normal"/>
    <w:uiPriority w:val="39"/>
    <w:unhideWhenUsed/>
    <w:qFormat/>
    <w:rsid w:val="004364A0"/>
    <w:pPr>
      <w:spacing w:before="240"/>
      <w:outlineLvl w:val="9"/>
    </w:pPr>
    <w:rPr>
      <w:b w:val="0"/>
      <w:bCs w:val="0"/>
      <w:sz w:val="32"/>
      <w:szCs w:val="32"/>
      <w:lang w:val="nb-NO" w:eastAsia="nb-NO"/>
    </w:rPr>
  </w:style>
  <w:style w:type="paragraph" w:styleId="INNH1">
    <w:name w:val="toc 1"/>
    <w:basedOn w:val="Normal"/>
    <w:next w:val="Normal"/>
    <w:autoRedefine/>
    <w:uiPriority w:val="39"/>
    <w:unhideWhenUsed/>
    <w:rsid w:val="004364A0"/>
    <w:pPr>
      <w:spacing w:after="100"/>
    </w:pPr>
    <w:rPr>
      <w:lang w:val="nb-NO"/>
    </w:rPr>
  </w:style>
  <w:style w:type="character" w:styleId="Fulgthyperkobling">
    <w:name w:val="FollowedHyperlink"/>
    <w:basedOn w:val="Standardskriftforavsnitt"/>
    <w:uiPriority w:val="99"/>
    <w:semiHidden/>
    <w:unhideWhenUsed/>
    <w:rsid w:val="00DF3415"/>
    <w:rPr>
      <w:color w:val="800080" w:themeColor="followedHyperlink"/>
      <w:u w:val="single"/>
    </w:rPr>
  </w:style>
  <w:style w:type="character" w:customStyle="1" w:styleId="Ulstomtale1">
    <w:name w:val="Uløst omtale1"/>
    <w:basedOn w:val="Standardskriftforavsnitt"/>
    <w:uiPriority w:val="99"/>
    <w:semiHidden/>
    <w:unhideWhenUsed/>
    <w:rsid w:val="004A6B52"/>
    <w:rPr>
      <w:color w:val="808080"/>
      <w:shd w:val="clear" w:color="auto" w:fill="E6E6E6"/>
    </w:rPr>
  </w:style>
  <w:style w:type="paragraph" w:styleId="HTML-forhndsformatert">
    <w:name w:val="HTML Preformatted"/>
    <w:basedOn w:val="Normal"/>
    <w:link w:val="HTML-forhndsformatertTegn"/>
    <w:uiPriority w:val="99"/>
    <w:unhideWhenUsed/>
    <w:rsid w:val="000D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rsid w:val="000D51FF"/>
    <w:rPr>
      <w:rFonts w:ascii="Courier New" w:eastAsia="Times New Roman" w:hAnsi="Courier New" w:cs="Courier New"/>
      <w:sz w:val="20"/>
      <w:szCs w:val="20"/>
      <w:lang w:eastAsia="nb-NO"/>
    </w:rPr>
  </w:style>
  <w:style w:type="paragraph" w:styleId="Rentekst">
    <w:name w:val="Plain Text"/>
    <w:basedOn w:val="Normal"/>
    <w:link w:val="RentekstTegn"/>
    <w:uiPriority w:val="99"/>
    <w:semiHidden/>
    <w:unhideWhenUsed/>
    <w:rsid w:val="000D51FF"/>
    <w:pPr>
      <w:spacing w:after="0" w:line="240" w:lineRule="auto"/>
    </w:pPr>
    <w:rPr>
      <w:rFonts w:ascii="Calibri" w:eastAsiaTheme="minorEastAsia" w:hAnsi="Calibri"/>
      <w:szCs w:val="21"/>
      <w:lang w:val="nb-NO" w:eastAsia="zh-CN"/>
    </w:rPr>
  </w:style>
  <w:style w:type="character" w:customStyle="1" w:styleId="RentekstTegn">
    <w:name w:val="Ren tekst Tegn"/>
    <w:basedOn w:val="Standardskriftforavsnitt"/>
    <w:link w:val="Rentekst"/>
    <w:uiPriority w:val="99"/>
    <w:semiHidden/>
    <w:rsid w:val="000D51FF"/>
    <w:rPr>
      <w:rFonts w:ascii="Calibri" w:eastAsiaTheme="minorEastAsia" w:hAnsi="Calibri"/>
      <w:szCs w:val="21"/>
      <w:lang w:eastAsia="zh-CN"/>
    </w:rPr>
  </w:style>
  <w:style w:type="paragraph" w:styleId="INNH2">
    <w:name w:val="toc 2"/>
    <w:basedOn w:val="Normal"/>
    <w:next w:val="Normal"/>
    <w:autoRedefine/>
    <w:uiPriority w:val="39"/>
    <w:unhideWhenUsed/>
    <w:rsid w:val="00D2584A"/>
    <w:pPr>
      <w:spacing w:after="100"/>
      <w:ind w:left="220"/>
    </w:pPr>
  </w:style>
  <w:style w:type="character" w:customStyle="1" w:styleId="Ulstomtale2">
    <w:name w:val="Uløst omtale2"/>
    <w:basedOn w:val="Standardskriftforavsnitt"/>
    <w:uiPriority w:val="99"/>
    <w:semiHidden/>
    <w:unhideWhenUsed/>
    <w:rsid w:val="00437A0C"/>
    <w:rPr>
      <w:color w:val="808080"/>
      <w:shd w:val="clear" w:color="auto" w:fill="E6E6E6"/>
    </w:rPr>
  </w:style>
  <w:style w:type="character" w:styleId="Merknadsreferanse">
    <w:name w:val="annotation reference"/>
    <w:basedOn w:val="Standardskriftforavsnitt"/>
    <w:uiPriority w:val="99"/>
    <w:semiHidden/>
    <w:unhideWhenUsed/>
    <w:rsid w:val="00841FE4"/>
    <w:rPr>
      <w:sz w:val="16"/>
      <w:szCs w:val="16"/>
    </w:rPr>
  </w:style>
  <w:style w:type="character" w:customStyle="1" w:styleId="Ulstomtale3">
    <w:name w:val="Uløst omtale3"/>
    <w:basedOn w:val="Standardskriftforavsnitt"/>
    <w:uiPriority w:val="99"/>
    <w:semiHidden/>
    <w:unhideWhenUsed/>
    <w:rsid w:val="00903F2D"/>
    <w:rPr>
      <w:color w:val="808080"/>
      <w:shd w:val="clear" w:color="auto" w:fill="E6E6E6"/>
    </w:rPr>
  </w:style>
  <w:style w:type="character" w:customStyle="1" w:styleId="Ulstomtale4">
    <w:name w:val="Uløst omtale4"/>
    <w:basedOn w:val="Standardskriftforavsnitt"/>
    <w:uiPriority w:val="99"/>
    <w:semiHidden/>
    <w:unhideWhenUsed/>
    <w:rsid w:val="00BA20EE"/>
    <w:rPr>
      <w:color w:val="808080"/>
      <w:shd w:val="clear" w:color="auto" w:fill="E6E6E6"/>
    </w:rPr>
  </w:style>
  <w:style w:type="character" w:customStyle="1" w:styleId="UnresolvedMention">
    <w:name w:val="Unresolved Mention"/>
    <w:basedOn w:val="Standardskriftforavsnitt"/>
    <w:uiPriority w:val="99"/>
    <w:semiHidden/>
    <w:unhideWhenUsed/>
    <w:rsid w:val="003525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91"/>
    <w:pPr>
      <w:spacing w:after="160" w:line="259" w:lineRule="auto"/>
    </w:pPr>
    <w:rPr>
      <w:lang w:val="en-US"/>
    </w:rPr>
  </w:style>
  <w:style w:type="paragraph" w:styleId="Overskrift1">
    <w:name w:val="heading 1"/>
    <w:basedOn w:val="Normal"/>
    <w:next w:val="Normal"/>
    <w:link w:val="Overskrift1Tegn"/>
    <w:uiPriority w:val="9"/>
    <w:qFormat/>
    <w:rsid w:val="0020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0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034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00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003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00345"/>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0034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0034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00345"/>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200345"/>
    <w:pPr>
      <w:ind w:left="720"/>
      <w:contextualSpacing/>
    </w:pPr>
  </w:style>
  <w:style w:type="character" w:customStyle="1" w:styleId="Overskrift4Tegn">
    <w:name w:val="Overskrift 4 Tegn"/>
    <w:basedOn w:val="Standardskriftforavsnitt"/>
    <w:link w:val="Overskrift4"/>
    <w:uiPriority w:val="9"/>
    <w:rsid w:val="0020034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845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A3D94"/>
    <w:rPr>
      <w:color w:val="0000FF" w:themeColor="hyperlink"/>
      <w:u w:val="single"/>
    </w:rPr>
  </w:style>
  <w:style w:type="character" w:customStyle="1" w:styleId="apple-converted-space">
    <w:name w:val="apple-converted-space"/>
    <w:basedOn w:val="Standardskriftforavsnitt"/>
    <w:rsid w:val="00B44A9E"/>
  </w:style>
  <w:style w:type="paragraph" w:styleId="Bobletekst">
    <w:name w:val="Balloon Text"/>
    <w:basedOn w:val="Normal"/>
    <w:link w:val="BobletekstTegn"/>
    <w:uiPriority w:val="99"/>
    <w:semiHidden/>
    <w:unhideWhenUsed/>
    <w:rsid w:val="003F5D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5D00"/>
    <w:rPr>
      <w:rFonts w:ascii="Segoe UI" w:hAnsi="Segoe UI" w:cs="Segoe UI"/>
      <w:sz w:val="18"/>
      <w:szCs w:val="18"/>
    </w:rPr>
  </w:style>
  <w:style w:type="paragraph" w:styleId="Topptekst">
    <w:name w:val="header"/>
    <w:basedOn w:val="Normal"/>
    <w:link w:val="TopptekstTegn"/>
    <w:uiPriority w:val="99"/>
    <w:unhideWhenUsed/>
    <w:rsid w:val="004803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0391"/>
  </w:style>
  <w:style w:type="paragraph" w:styleId="Bunntekst">
    <w:name w:val="footer"/>
    <w:basedOn w:val="Normal"/>
    <w:link w:val="BunntekstTegn"/>
    <w:uiPriority w:val="99"/>
    <w:unhideWhenUsed/>
    <w:rsid w:val="004803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0391"/>
  </w:style>
  <w:style w:type="character" w:styleId="Sterkutheving">
    <w:name w:val="Intense Emphasis"/>
    <w:basedOn w:val="Standardskriftforavsnitt"/>
    <w:uiPriority w:val="21"/>
    <w:qFormat/>
    <w:rsid w:val="00480391"/>
    <w:rPr>
      <w:i/>
      <w:iCs/>
      <w:color w:val="4F81BD" w:themeColor="accent1"/>
    </w:rPr>
  </w:style>
  <w:style w:type="character" w:styleId="Sterk">
    <w:name w:val="Strong"/>
    <w:basedOn w:val="Standardskriftforavsnitt"/>
    <w:uiPriority w:val="22"/>
    <w:qFormat/>
    <w:rsid w:val="009B1BB1"/>
    <w:rPr>
      <w:b/>
      <w:bCs/>
    </w:rPr>
  </w:style>
  <w:style w:type="paragraph" w:styleId="Fotnotetekst">
    <w:name w:val="footnote text"/>
    <w:aliases w:val="Fußnotentext RAXEN,footnotes,Footnote Text Char,Footnote Text Char2 Char,Footnote Text Char Char1 Char,Footnote Text Char2 Char Char Char,Footnote Text Char1 Char Char Char Char,Footnote Text Char Char Char Char Char Char,single space"/>
    <w:basedOn w:val="Normal"/>
    <w:link w:val="FotnotetekstTegn"/>
    <w:uiPriority w:val="99"/>
    <w:unhideWhenUsed/>
    <w:rsid w:val="009B1BB1"/>
    <w:pPr>
      <w:spacing w:after="0" w:line="240" w:lineRule="auto"/>
    </w:pPr>
    <w:rPr>
      <w:sz w:val="20"/>
      <w:szCs w:val="20"/>
    </w:rPr>
  </w:style>
  <w:style w:type="character" w:customStyle="1" w:styleId="FotnotetekstTegn">
    <w:name w:val="Fotnotetekst Tegn"/>
    <w:aliases w:val="Fußnotentext RAXEN Tegn,footnotes Tegn,Footnote Text Char Tegn,Footnote Text Char2 Char Tegn,Footnote Text Char Char1 Char Tegn,Footnote Text Char2 Char Char Char Tegn,Footnote Text Char1 Char Char Char Char Tegn,single space Tegn"/>
    <w:basedOn w:val="Standardskriftforavsnitt"/>
    <w:link w:val="Fotnotetekst"/>
    <w:uiPriority w:val="99"/>
    <w:rsid w:val="009B1BB1"/>
    <w:rPr>
      <w:sz w:val="20"/>
      <w:szCs w:val="20"/>
      <w:lang w:val="en-US"/>
    </w:rPr>
  </w:style>
  <w:style w:type="character" w:styleId="Fotnotereferanse">
    <w:name w:val="footnote reference"/>
    <w:aliases w:val="Footnote Refernece,Footnote Reference Superscript,Footnote Reference in text,FZ,Appel note de bas de p."/>
    <w:basedOn w:val="Standardskriftforavsnitt"/>
    <w:uiPriority w:val="99"/>
    <w:unhideWhenUsed/>
    <w:rsid w:val="009B1BB1"/>
    <w:rPr>
      <w:vertAlign w:val="superscript"/>
    </w:rPr>
  </w:style>
  <w:style w:type="paragraph" w:customStyle="1" w:styleId="Default">
    <w:name w:val="Default"/>
    <w:rsid w:val="00C76E26"/>
    <w:pPr>
      <w:autoSpaceDE w:val="0"/>
      <w:autoSpaceDN w:val="0"/>
      <w:adjustRightInd w:val="0"/>
      <w:spacing w:after="0" w:line="240" w:lineRule="auto"/>
    </w:pPr>
    <w:rPr>
      <w:rFonts w:ascii="Calibri" w:hAnsi="Calibri" w:cs="Calibri"/>
      <w:color w:val="000000"/>
      <w:sz w:val="24"/>
      <w:szCs w:val="24"/>
      <w:lang w:val="en-US"/>
    </w:rPr>
  </w:style>
  <w:style w:type="paragraph" w:styleId="Brdtekstinnrykk3">
    <w:name w:val="Body Text Indent 3"/>
    <w:basedOn w:val="Normal"/>
    <w:link w:val="Brdtekstinnrykk3Tegn"/>
    <w:semiHidden/>
    <w:rsid w:val="001826FF"/>
    <w:pPr>
      <w:numPr>
        <w:ilvl w:val="12"/>
      </w:numPr>
      <w:overflowPunct w:val="0"/>
      <w:autoSpaceDE w:val="0"/>
      <w:autoSpaceDN w:val="0"/>
      <w:adjustRightInd w:val="0"/>
      <w:spacing w:after="0" w:line="240" w:lineRule="auto"/>
      <w:ind w:left="283"/>
      <w:textAlignment w:val="baseline"/>
    </w:pPr>
    <w:rPr>
      <w:rFonts w:ascii="Times New Roman" w:eastAsia="Times New Roman" w:hAnsi="Times New Roman" w:cs="Times New Roman"/>
      <w:i/>
      <w:sz w:val="24"/>
      <w:szCs w:val="20"/>
      <w:lang w:val="nb-NO" w:eastAsia="nb-NO"/>
    </w:rPr>
  </w:style>
  <w:style w:type="character" w:customStyle="1" w:styleId="Brdtekstinnrykk3Tegn">
    <w:name w:val="Brødtekstinnrykk 3 Tegn"/>
    <w:basedOn w:val="Standardskriftforavsnitt"/>
    <w:link w:val="Brdtekstinnrykk3"/>
    <w:semiHidden/>
    <w:rsid w:val="001826FF"/>
    <w:rPr>
      <w:rFonts w:ascii="Times New Roman" w:eastAsia="Times New Roman" w:hAnsi="Times New Roman" w:cs="Times New Roman"/>
      <w:i/>
      <w:sz w:val="24"/>
      <w:szCs w:val="20"/>
      <w:lang w:eastAsia="nb-NO"/>
    </w:rPr>
  </w:style>
  <w:style w:type="character" w:styleId="Utheving">
    <w:name w:val="Emphasis"/>
    <w:aliases w:val="Recommendation"/>
    <w:basedOn w:val="Standardskriftforavsnitt"/>
    <w:uiPriority w:val="20"/>
    <w:qFormat/>
    <w:rsid w:val="004364A0"/>
    <w:rPr>
      <w:b/>
      <w:bCs w:val="0"/>
      <w:i w:val="0"/>
      <w:iCs w:val="0"/>
      <w:lang w:val="en-US"/>
    </w:rPr>
  </w:style>
  <w:style w:type="paragraph" w:customStyle="1" w:styleId="Ingenmellomrom1">
    <w:name w:val="Ingen mellomrom1"/>
    <w:uiPriority w:val="1"/>
    <w:qFormat/>
    <w:rsid w:val="004364A0"/>
    <w:pPr>
      <w:spacing w:after="0" w:line="240" w:lineRule="auto"/>
    </w:pPr>
    <w:rPr>
      <w:rFonts w:ascii="Calibri" w:eastAsia="Calibri" w:hAnsi="Calibri" w:cs="Times New Roman"/>
      <w:lang w:val="en-US"/>
    </w:rPr>
  </w:style>
  <w:style w:type="paragraph" w:styleId="Merknadstekst">
    <w:name w:val="annotation text"/>
    <w:basedOn w:val="Normal"/>
    <w:link w:val="MerknadstekstTegn"/>
    <w:uiPriority w:val="99"/>
    <w:unhideWhenUsed/>
    <w:rsid w:val="004364A0"/>
    <w:pPr>
      <w:spacing w:line="240" w:lineRule="auto"/>
    </w:pPr>
    <w:rPr>
      <w:sz w:val="20"/>
      <w:szCs w:val="20"/>
      <w:lang w:val="nb-NO"/>
    </w:rPr>
  </w:style>
  <w:style w:type="character" w:customStyle="1" w:styleId="MerknadstekstTegn">
    <w:name w:val="Merknadstekst Tegn"/>
    <w:basedOn w:val="Standardskriftforavsnitt"/>
    <w:link w:val="Merknadstekst"/>
    <w:uiPriority w:val="99"/>
    <w:rsid w:val="004364A0"/>
    <w:rPr>
      <w:sz w:val="20"/>
      <w:szCs w:val="20"/>
    </w:rPr>
  </w:style>
  <w:style w:type="paragraph" w:styleId="Overskriftforinnholdsfortegnelse">
    <w:name w:val="TOC Heading"/>
    <w:basedOn w:val="Overskrift1"/>
    <w:next w:val="Normal"/>
    <w:uiPriority w:val="39"/>
    <w:unhideWhenUsed/>
    <w:qFormat/>
    <w:rsid w:val="004364A0"/>
    <w:pPr>
      <w:spacing w:before="240"/>
      <w:outlineLvl w:val="9"/>
    </w:pPr>
    <w:rPr>
      <w:b w:val="0"/>
      <w:bCs w:val="0"/>
      <w:sz w:val="32"/>
      <w:szCs w:val="32"/>
      <w:lang w:val="nb-NO" w:eastAsia="nb-NO"/>
    </w:rPr>
  </w:style>
  <w:style w:type="paragraph" w:styleId="INNH1">
    <w:name w:val="toc 1"/>
    <w:basedOn w:val="Normal"/>
    <w:next w:val="Normal"/>
    <w:autoRedefine/>
    <w:uiPriority w:val="39"/>
    <w:unhideWhenUsed/>
    <w:rsid w:val="004364A0"/>
    <w:pPr>
      <w:spacing w:after="100"/>
    </w:pPr>
    <w:rPr>
      <w:lang w:val="nb-NO"/>
    </w:rPr>
  </w:style>
  <w:style w:type="character" w:styleId="Fulgthyperkobling">
    <w:name w:val="FollowedHyperlink"/>
    <w:basedOn w:val="Standardskriftforavsnitt"/>
    <w:uiPriority w:val="99"/>
    <w:semiHidden/>
    <w:unhideWhenUsed/>
    <w:rsid w:val="00DF3415"/>
    <w:rPr>
      <w:color w:val="800080" w:themeColor="followedHyperlink"/>
      <w:u w:val="single"/>
    </w:rPr>
  </w:style>
  <w:style w:type="character" w:customStyle="1" w:styleId="Ulstomtale1">
    <w:name w:val="Uløst omtale1"/>
    <w:basedOn w:val="Standardskriftforavsnitt"/>
    <w:uiPriority w:val="99"/>
    <w:semiHidden/>
    <w:unhideWhenUsed/>
    <w:rsid w:val="004A6B52"/>
    <w:rPr>
      <w:color w:val="808080"/>
      <w:shd w:val="clear" w:color="auto" w:fill="E6E6E6"/>
    </w:rPr>
  </w:style>
  <w:style w:type="paragraph" w:styleId="HTML-forhndsformatert">
    <w:name w:val="HTML Preformatted"/>
    <w:basedOn w:val="Normal"/>
    <w:link w:val="HTML-forhndsformatertTegn"/>
    <w:uiPriority w:val="99"/>
    <w:unhideWhenUsed/>
    <w:rsid w:val="000D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rsid w:val="000D51FF"/>
    <w:rPr>
      <w:rFonts w:ascii="Courier New" w:eastAsia="Times New Roman" w:hAnsi="Courier New" w:cs="Courier New"/>
      <w:sz w:val="20"/>
      <w:szCs w:val="20"/>
      <w:lang w:eastAsia="nb-NO"/>
    </w:rPr>
  </w:style>
  <w:style w:type="paragraph" w:styleId="Rentekst">
    <w:name w:val="Plain Text"/>
    <w:basedOn w:val="Normal"/>
    <w:link w:val="RentekstTegn"/>
    <w:uiPriority w:val="99"/>
    <w:semiHidden/>
    <w:unhideWhenUsed/>
    <w:rsid w:val="000D51FF"/>
    <w:pPr>
      <w:spacing w:after="0" w:line="240" w:lineRule="auto"/>
    </w:pPr>
    <w:rPr>
      <w:rFonts w:ascii="Calibri" w:eastAsiaTheme="minorEastAsia" w:hAnsi="Calibri"/>
      <w:szCs w:val="21"/>
      <w:lang w:val="nb-NO" w:eastAsia="zh-CN"/>
    </w:rPr>
  </w:style>
  <w:style w:type="character" w:customStyle="1" w:styleId="RentekstTegn">
    <w:name w:val="Ren tekst Tegn"/>
    <w:basedOn w:val="Standardskriftforavsnitt"/>
    <w:link w:val="Rentekst"/>
    <w:uiPriority w:val="99"/>
    <w:semiHidden/>
    <w:rsid w:val="000D51FF"/>
    <w:rPr>
      <w:rFonts w:ascii="Calibri" w:eastAsiaTheme="minorEastAsia" w:hAnsi="Calibri"/>
      <w:szCs w:val="21"/>
      <w:lang w:eastAsia="zh-CN"/>
    </w:rPr>
  </w:style>
  <w:style w:type="paragraph" w:styleId="INNH2">
    <w:name w:val="toc 2"/>
    <w:basedOn w:val="Normal"/>
    <w:next w:val="Normal"/>
    <w:autoRedefine/>
    <w:uiPriority w:val="39"/>
    <w:unhideWhenUsed/>
    <w:rsid w:val="00D2584A"/>
    <w:pPr>
      <w:spacing w:after="100"/>
      <w:ind w:left="220"/>
    </w:pPr>
  </w:style>
  <w:style w:type="character" w:customStyle="1" w:styleId="Ulstomtale2">
    <w:name w:val="Uløst omtale2"/>
    <w:basedOn w:val="Standardskriftforavsnitt"/>
    <w:uiPriority w:val="99"/>
    <w:semiHidden/>
    <w:unhideWhenUsed/>
    <w:rsid w:val="00437A0C"/>
    <w:rPr>
      <w:color w:val="808080"/>
      <w:shd w:val="clear" w:color="auto" w:fill="E6E6E6"/>
    </w:rPr>
  </w:style>
  <w:style w:type="character" w:styleId="Merknadsreferanse">
    <w:name w:val="annotation reference"/>
    <w:basedOn w:val="Standardskriftforavsnitt"/>
    <w:uiPriority w:val="99"/>
    <w:semiHidden/>
    <w:unhideWhenUsed/>
    <w:rsid w:val="00841FE4"/>
    <w:rPr>
      <w:sz w:val="16"/>
      <w:szCs w:val="16"/>
    </w:rPr>
  </w:style>
  <w:style w:type="character" w:customStyle="1" w:styleId="Ulstomtale3">
    <w:name w:val="Uløst omtale3"/>
    <w:basedOn w:val="Standardskriftforavsnitt"/>
    <w:uiPriority w:val="99"/>
    <w:semiHidden/>
    <w:unhideWhenUsed/>
    <w:rsid w:val="00903F2D"/>
    <w:rPr>
      <w:color w:val="808080"/>
      <w:shd w:val="clear" w:color="auto" w:fill="E6E6E6"/>
    </w:rPr>
  </w:style>
  <w:style w:type="character" w:customStyle="1" w:styleId="Ulstomtale4">
    <w:name w:val="Uløst omtale4"/>
    <w:basedOn w:val="Standardskriftforavsnitt"/>
    <w:uiPriority w:val="99"/>
    <w:semiHidden/>
    <w:unhideWhenUsed/>
    <w:rsid w:val="00BA20EE"/>
    <w:rPr>
      <w:color w:val="808080"/>
      <w:shd w:val="clear" w:color="auto" w:fill="E6E6E6"/>
    </w:rPr>
  </w:style>
  <w:style w:type="character" w:customStyle="1" w:styleId="UnresolvedMention">
    <w:name w:val="Unresolved Mention"/>
    <w:basedOn w:val="Standardskriftforavsnitt"/>
    <w:uiPriority w:val="99"/>
    <w:semiHidden/>
    <w:unhideWhenUsed/>
    <w:rsid w:val="00352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7112">
      <w:bodyDiv w:val="1"/>
      <w:marLeft w:val="0"/>
      <w:marRight w:val="0"/>
      <w:marTop w:val="0"/>
      <w:marBottom w:val="0"/>
      <w:divBdr>
        <w:top w:val="none" w:sz="0" w:space="0" w:color="auto"/>
        <w:left w:val="none" w:sz="0" w:space="0" w:color="auto"/>
        <w:bottom w:val="none" w:sz="0" w:space="0" w:color="auto"/>
        <w:right w:val="none" w:sz="0" w:space="0" w:color="auto"/>
      </w:divBdr>
    </w:div>
    <w:div w:id="557009792">
      <w:bodyDiv w:val="1"/>
      <w:marLeft w:val="0"/>
      <w:marRight w:val="0"/>
      <w:marTop w:val="0"/>
      <w:marBottom w:val="0"/>
      <w:divBdr>
        <w:top w:val="none" w:sz="0" w:space="0" w:color="auto"/>
        <w:left w:val="none" w:sz="0" w:space="0" w:color="auto"/>
        <w:bottom w:val="none" w:sz="0" w:space="0" w:color="auto"/>
        <w:right w:val="none" w:sz="0" w:space="0" w:color="auto"/>
      </w:divBdr>
      <w:divsChild>
        <w:div w:id="810488567">
          <w:marLeft w:val="300"/>
          <w:marRight w:val="300"/>
          <w:marTop w:val="0"/>
          <w:marBottom w:val="0"/>
          <w:divBdr>
            <w:top w:val="none" w:sz="0" w:space="0" w:color="auto"/>
            <w:left w:val="none" w:sz="0" w:space="0" w:color="auto"/>
            <w:bottom w:val="none" w:sz="0" w:space="0" w:color="auto"/>
            <w:right w:val="none" w:sz="0" w:space="0" w:color="auto"/>
          </w:divBdr>
          <w:divsChild>
            <w:div w:id="1151949034">
              <w:marLeft w:val="0"/>
              <w:marRight w:val="0"/>
              <w:marTop w:val="0"/>
              <w:marBottom w:val="0"/>
              <w:divBdr>
                <w:top w:val="none" w:sz="0" w:space="0" w:color="auto"/>
                <w:left w:val="none" w:sz="0" w:space="0" w:color="auto"/>
                <w:bottom w:val="none" w:sz="0" w:space="0" w:color="auto"/>
                <w:right w:val="none" w:sz="0" w:space="0" w:color="auto"/>
              </w:divBdr>
              <w:divsChild>
                <w:div w:id="614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6105">
      <w:bodyDiv w:val="1"/>
      <w:marLeft w:val="0"/>
      <w:marRight w:val="0"/>
      <w:marTop w:val="0"/>
      <w:marBottom w:val="0"/>
      <w:divBdr>
        <w:top w:val="none" w:sz="0" w:space="0" w:color="auto"/>
        <w:left w:val="none" w:sz="0" w:space="0" w:color="auto"/>
        <w:bottom w:val="none" w:sz="0" w:space="0" w:color="auto"/>
        <w:right w:val="none" w:sz="0" w:space="0" w:color="auto"/>
      </w:divBdr>
    </w:div>
    <w:div w:id="653803120">
      <w:bodyDiv w:val="1"/>
      <w:marLeft w:val="0"/>
      <w:marRight w:val="0"/>
      <w:marTop w:val="0"/>
      <w:marBottom w:val="0"/>
      <w:divBdr>
        <w:top w:val="none" w:sz="0" w:space="0" w:color="auto"/>
        <w:left w:val="none" w:sz="0" w:space="0" w:color="auto"/>
        <w:bottom w:val="none" w:sz="0" w:space="0" w:color="auto"/>
        <w:right w:val="none" w:sz="0" w:space="0" w:color="auto"/>
      </w:divBdr>
    </w:div>
    <w:div w:id="934902466">
      <w:bodyDiv w:val="1"/>
      <w:marLeft w:val="0"/>
      <w:marRight w:val="0"/>
      <w:marTop w:val="0"/>
      <w:marBottom w:val="0"/>
      <w:divBdr>
        <w:top w:val="none" w:sz="0" w:space="0" w:color="auto"/>
        <w:left w:val="none" w:sz="0" w:space="0" w:color="auto"/>
        <w:bottom w:val="none" w:sz="0" w:space="0" w:color="auto"/>
        <w:right w:val="none" w:sz="0" w:space="0" w:color="auto"/>
      </w:divBdr>
    </w:div>
    <w:div w:id="1481191895">
      <w:bodyDiv w:val="1"/>
      <w:marLeft w:val="0"/>
      <w:marRight w:val="0"/>
      <w:marTop w:val="0"/>
      <w:marBottom w:val="0"/>
      <w:divBdr>
        <w:top w:val="none" w:sz="0" w:space="0" w:color="auto"/>
        <w:left w:val="none" w:sz="0" w:space="0" w:color="auto"/>
        <w:bottom w:val="none" w:sz="0" w:space="0" w:color="auto"/>
        <w:right w:val="none" w:sz="0" w:space="0" w:color="auto"/>
      </w:divBdr>
      <w:divsChild>
        <w:div w:id="836268537">
          <w:marLeft w:val="0"/>
          <w:marRight w:val="0"/>
          <w:marTop w:val="0"/>
          <w:marBottom w:val="0"/>
          <w:divBdr>
            <w:top w:val="none" w:sz="0" w:space="0" w:color="auto"/>
            <w:left w:val="none" w:sz="0" w:space="0" w:color="auto"/>
            <w:bottom w:val="none" w:sz="0" w:space="0" w:color="auto"/>
            <w:right w:val="none" w:sz="0" w:space="0" w:color="auto"/>
          </w:divBdr>
        </w:div>
        <w:div w:id="319311800">
          <w:marLeft w:val="0"/>
          <w:marRight w:val="0"/>
          <w:marTop w:val="0"/>
          <w:marBottom w:val="0"/>
          <w:divBdr>
            <w:top w:val="none" w:sz="0" w:space="0" w:color="auto"/>
            <w:left w:val="none" w:sz="0" w:space="0" w:color="auto"/>
            <w:bottom w:val="none" w:sz="0" w:space="0" w:color="auto"/>
            <w:right w:val="none" w:sz="0" w:space="0" w:color="auto"/>
          </w:divBdr>
        </w:div>
      </w:divsChild>
    </w:div>
    <w:div w:id="1496409937">
      <w:bodyDiv w:val="1"/>
      <w:marLeft w:val="0"/>
      <w:marRight w:val="0"/>
      <w:marTop w:val="0"/>
      <w:marBottom w:val="0"/>
      <w:divBdr>
        <w:top w:val="none" w:sz="0" w:space="0" w:color="auto"/>
        <w:left w:val="none" w:sz="0" w:space="0" w:color="auto"/>
        <w:bottom w:val="none" w:sz="0" w:space="0" w:color="auto"/>
        <w:right w:val="none" w:sz="0" w:space="0" w:color="auto"/>
      </w:divBdr>
    </w:div>
    <w:div w:id="1721854222">
      <w:bodyDiv w:val="1"/>
      <w:marLeft w:val="0"/>
      <w:marRight w:val="0"/>
      <w:marTop w:val="0"/>
      <w:marBottom w:val="0"/>
      <w:divBdr>
        <w:top w:val="none" w:sz="0" w:space="0" w:color="auto"/>
        <w:left w:val="none" w:sz="0" w:space="0" w:color="auto"/>
        <w:bottom w:val="none" w:sz="0" w:space="0" w:color="auto"/>
        <w:right w:val="none" w:sz="0" w:space="0" w:color="auto"/>
      </w:divBdr>
    </w:div>
    <w:div w:id="18783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k.no/" TargetMode="External"/><Relationship Id="rId18" Type="http://schemas.openxmlformats.org/officeDocument/2006/relationships/hyperlink" Target="http://www.vest-sahara.no/a48x23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human.no/om-oss/english/" TargetMode="External"/><Relationship Id="rId17" Type="http://schemas.openxmlformats.org/officeDocument/2006/relationships/hyperlink" Target="https://antirasistisk.no/engel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vokatforeningen.no/om/om-medlemskapet/english/" TargetMode="External"/><Relationship Id="rId20" Type="http://schemas.openxmlformats.org/officeDocument/2006/relationships/hyperlink" Target="mailto:Ekelove-slydal@nhc.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as.no/en/"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reddbarna.no/" TargetMode="External"/><Relationship Id="rId23" Type="http://schemas.openxmlformats.org/officeDocument/2006/relationships/fontTable" Target="fontTable.xml"/><Relationship Id="rId10" Type="http://schemas.openxmlformats.org/officeDocument/2006/relationships/hyperlink" Target="http://foreninger.uio.no/jussbuss/english/about/" TargetMode="External"/><Relationship Id="rId19" Type="http://schemas.openxmlformats.org/officeDocument/2006/relationships/hyperlink" Target="https://www.fn.no/" TargetMode="External"/><Relationship Id="rId4" Type="http://schemas.microsoft.com/office/2007/relationships/stylesWithEffects" Target="stylesWithEffects.xml"/><Relationship Id="rId9" Type="http://schemas.openxmlformats.org/officeDocument/2006/relationships/hyperlink" Target="https://www.amnesty.no" TargetMode="External"/><Relationship Id="rId14" Type="http://schemas.openxmlformats.org/officeDocument/2006/relationships/hyperlink" Target="http://www.burma.no/English/index.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hc@nhc.n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t.ly/2BGLrIy" TargetMode="External"/><Relationship Id="rId13" Type="http://schemas.openxmlformats.org/officeDocument/2006/relationships/hyperlink" Target="http://bit.ly/2nZIM86" TargetMode="External"/><Relationship Id="rId18" Type="http://schemas.openxmlformats.org/officeDocument/2006/relationships/hyperlink" Target="http://bit.ly/1EVQsh5" TargetMode="External"/><Relationship Id="rId26" Type="http://schemas.openxmlformats.org/officeDocument/2006/relationships/hyperlink" Target="http://bit.ly/2nr5QNg" TargetMode="External"/><Relationship Id="rId3" Type="http://schemas.openxmlformats.org/officeDocument/2006/relationships/hyperlink" Target="http://bit.ly/2lGcnmB" TargetMode="External"/><Relationship Id="rId21" Type="http://schemas.openxmlformats.org/officeDocument/2006/relationships/hyperlink" Target="http://bit.ly/2DqyAiG" TargetMode="External"/><Relationship Id="rId7" Type="http://schemas.openxmlformats.org/officeDocument/2006/relationships/hyperlink" Target="http://bit.ly/2FUGKNC" TargetMode="External"/><Relationship Id="rId12" Type="http://schemas.openxmlformats.org/officeDocument/2006/relationships/hyperlink" Target="http://bit.ly/2FxySSa" TargetMode="External"/><Relationship Id="rId17" Type="http://schemas.openxmlformats.org/officeDocument/2006/relationships/hyperlink" Target="http://bit.ly/OMSxDe" TargetMode="External"/><Relationship Id="rId25" Type="http://schemas.openxmlformats.org/officeDocument/2006/relationships/hyperlink" Target="http://bit.ly/2E4KcIk" TargetMode="External"/><Relationship Id="rId2" Type="http://schemas.openxmlformats.org/officeDocument/2006/relationships/hyperlink" Target="http://bit.ly/2sgy2r9" TargetMode="External"/><Relationship Id="rId16" Type="http://schemas.openxmlformats.org/officeDocument/2006/relationships/hyperlink" Target="http://bit.ly/2BFRux5" TargetMode="External"/><Relationship Id="rId20" Type="http://schemas.openxmlformats.org/officeDocument/2006/relationships/hyperlink" Target="http://bit.ly/2B3PnTo" TargetMode="External"/><Relationship Id="rId29" Type="http://schemas.openxmlformats.org/officeDocument/2006/relationships/hyperlink" Target="http://bit.ly/2EpRWoG" TargetMode="External"/><Relationship Id="rId1" Type="http://schemas.openxmlformats.org/officeDocument/2006/relationships/hyperlink" Target="http://bit.ly/2nMoBLD" TargetMode="External"/><Relationship Id="rId6" Type="http://schemas.openxmlformats.org/officeDocument/2006/relationships/hyperlink" Target="http://bit.ly/2nEWr53" TargetMode="External"/><Relationship Id="rId11" Type="http://schemas.openxmlformats.org/officeDocument/2006/relationships/hyperlink" Target="http://bit.ly/2E4VGeV" TargetMode="External"/><Relationship Id="rId24" Type="http://schemas.openxmlformats.org/officeDocument/2006/relationships/hyperlink" Target="http://bit.ly/2BLYmco" TargetMode="External"/><Relationship Id="rId5" Type="http://schemas.openxmlformats.org/officeDocument/2006/relationships/hyperlink" Target="http://bit.ly/2E4HyiD" TargetMode="External"/><Relationship Id="rId15" Type="http://schemas.openxmlformats.org/officeDocument/2006/relationships/hyperlink" Target="http://bit.ly/2Gvar9b" TargetMode="External"/><Relationship Id="rId23" Type="http://schemas.openxmlformats.org/officeDocument/2006/relationships/hyperlink" Target="http://bit.ly/2BKf4sj" TargetMode="External"/><Relationship Id="rId28" Type="http://schemas.openxmlformats.org/officeDocument/2006/relationships/hyperlink" Target="http://bit.ly/2BNW4cw" TargetMode="External"/><Relationship Id="rId10" Type="http://schemas.openxmlformats.org/officeDocument/2006/relationships/hyperlink" Target="http://bit.ly/2DTnrbh" TargetMode="External"/><Relationship Id="rId19" Type="http://schemas.openxmlformats.org/officeDocument/2006/relationships/hyperlink" Target="http://bit.ly/2FJIdam" TargetMode="External"/><Relationship Id="rId4" Type="http://schemas.openxmlformats.org/officeDocument/2006/relationships/hyperlink" Target="http://bit.ly/2FL27Bh" TargetMode="External"/><Relationship Id="rId9" Type="http://schemas.openxmlformats.org/officeDocument/2006/relationships/hyperlink" Target="http://bit.ly/2DTq7Wc" TargetMode="External"/><Relationship Id="rId14" Type="http://schemas.openxmlformats.org/officeDocument/2006/relationships/hyperlink" Target="http://bit.ly/2jjsy9b" TargetMode="External"/><Relationship Id="rId22" Type="http://schemas.openxmlformats.org/officeDocument/2006/relationships/hyperlink" Target="http://bit.ly/2E4hXJP" TargetMode="External"/><Relationship Id="rId27" Type="http://schemas.openxmlformats.org/officeDocument/2006/relationships/hyperlink" Target="http://bit.ly/2DQm7FQ" TargetMode="External"/><Relationship Id="rId30" Type="http://schemas.openxmlformats.org/officeDocument/2006/relationships/hyperlink" Target="http://bit.ly/2C2Kmu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A21FEB1D3D475685E455A0AE6F1001"/>
        <w:category>
          <w:name w:val="Generelt"/>
          <w:gallery w:val="placeholder"/>
        </w:category>
        <w:types>
          <w:type w:val="bbPlcHdr"/>
        </w:types>
        <w:behaviors>
          <w:behavior w:val="content"/>
        </w:behaviors>
        <w:guid w:val="{B7FCFBF7-EFE5-428D-A90B-EA10B99B3BA4}"/>
      </w:docPartPr>
      <w:docPartBody>
        <w:p w:rsidR="007F5C68" w:rsidRDefault="004D56AA" w:rsidP="004D56AA">
          <w:pPr>
            <w:pStyle w:val="74A21FEB1D3D475685E455A0AE6F1001"/>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rixOldstyle">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AA"/>
    <w:rsid w:val="000279FE"/>
    <w:rsid w:val="00197127"/>
    <w:rsid w:val="001E5A59"/>
    <w:rsid w:val="002519CA"/>
    <w:rsid w:val="00262B80"/>
    <w:rsid w:val="002A2F1B"/>
    <w:rsid w:val="004D56AA"/>
    <w:rsid w:val="004E43C1"/>
    <w:rsid w:val="005047AA"/>
    <w:rsid w:val="00516626"/>
    <w:rsid w:val="00526C56"/>
    <w:rsid w:val="00644A94"/>
    <w:rsid w:val="0065113D"/>
    <w:rsid w:val="00666B64"/>
    <w:rsid w:val="00711E58"/>
    <w:rsid w:val="007F5C68"/>
    <w:rsid w:val="009944CE"/>
    <w:rsid w:val="00A4666F"/>
    <w:rsid w:val="00A645BD"/>
    <w:rsid w:val="00AD7FCE"/>
    <w:rsid w:val="00CD10F0"/>
    <w:rsid w:val="00F21D66"/>
    <w:rsid w:val="00F60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956B603ED0E443EABEACA545C0C150C">
    <w:name w:val="0956B603ED0E443EABEACA545C0C150C"/>
    <w:rsid w:val="004D56AA"/>
  </w:style>
  <w:style w:type="paragraph" w:customStyle="1" w:styleId="A283D73232954A0F8F5049E2AD54B614">
    <w:name w:val="A283D73232954A0F8F5049E2AD54B614"/>
    <w:rsid w:val="004D56AA"/>
  </w:style>
  <w:style w:type="paragraph" w:customStyle="1" w:styleId="2BA98A85E3694BCC8AADD5FF905129F3">
    <w:name w:val="2BA98A85E3694BCC8AADD5FF905129F3"/>
    <w:rsid w:val="004D56AA"/>
  </w:style>
  <w:style w:type="paragraph" w:customStyle="1" w:styleId="30317AF65B7449BDA891F5AC7274A6BF">
    <w:name w:val="30317AF65B7449BDA891F5AC7274A6BF"/>
    <w:rsid w:val="004D56AA"/>
  </w:style>
  <w:style w:type="paragraph" w:customStyle="1" w:styleId="74A21FEB1D3D475685E455A0AE6F1001">
    <w:name w:val="74A21FEB1D3D475685E455A0AE6F1001"/>
    <w:rsid w:val="004D5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956B603ED0E443EABEACA545C0C150C">
    <w:name w:val="0956B603ED0E443EABEACA545C0C150C"/>
    <w:rsid w:val="004D56AA"/>
  </w:style>
  <w:style w:type="paragraph" w:customStyle="1" w:styleId="A283D73232954A0F8F5049E2AD54B614">
    <w:name w:val="A283D73232954A0F8F5049E2AD54B614"/>
    <w:rsid w:val="004D56AA"/>
  </w:style>
  <w:style w:type="paragraph" w:customStyle="1" w:styleId="2BA98A85E3694BCC8AADD5FF905129F3">
    <w:name w:val="2BA98A85E3694BCC8AADD5FF905129F3"/>
    <w:rsid w:val="004D56AA"/>
  </w:style>
  <w:style w:type="paragraph" w:customStyle="1" w:styleId="30317AF65B7449BDA891F5AC7274A6BF">
    <w:name w:val="30317AF65B7449BDA891F5AC7274A6BF"/>
    <w:rsid w:val="004D56AA"/>
  </w:style>
  <w:style w:type="paragraph" w:customStyle="1" w:styleId="74A21FEB1D3D475685E455A0AE6F1001">
    <w:name w:val="74A21FEB1D3D475685E455A0AE6F1001"/>
    <w:rsid w:val="004D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B551-2718-4A4B-B4B7-4A112E6C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2312B367</Template>
  <TotalTime>17</TotalTime>
  <Pages>1</Pages>
  <Words>7774</Words>
  <Characters>44313</Characters>
  <Application>Microsoft Office Word</Application>
  <DocSecurity>0</DocSecurity>
  <Lines>369</Lines>
  <Paragraphs>103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NORWEGIAN NGO FORUM FOR HUMAN RIGHTS</vt:lpstr>
      <vt:lpstr>NORWEGIAN NGO FORUM FOR HUMAN RIGHTS</vt:lpstr>
    </vt:vector>
  </TitlesOfParts>
  <Company>Universitetet i Oslo</Company>
  <LinksUpToDate>false</LinksUpToDate>
  <CharactersWithSpaces>51984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NGO FORUM FOR HUMAN RIGHTS</dc:title>
  <dc:creator>Dagny Marie Ås Hovind</dc:creator>
  <cp:lastModifiedBy>Gunnar Ekeløve-Slydal</cp:lastModifiedBy>
  <cp:revision>5</cp:revision>
  <cp:lastPrinted>2018-02-13T15:27:00Z</cp:lastPrinted>
  <dcterms:created xsi:type="dcterms:W3CDTF">2018-02-13T17:14:00Z</dcterms:created>
  <dcterms:modified xsi:type="dcterms:W3CDTF">2018-03-09T08:44:00Z</dcterms:modified>
</cp:coreProperties>
</file>