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53" w:rsidRPr="00016BBD" w:rsidRDefault="00E37174" w:rsidP="00016BBD">
      <w:pPr>
        <w:spacing w:line="360" w:lineRule="auto"/>
        <w:jc w:val="center"/>
        <w:rPr>
          <w:rFonts w:ascii="Garamond" w:eastAsia="Calibri" w:hAnsi="Garamond" w:cs="Times New Roman"/>
          <w:b/>
          <w:sz w:val="24"/>
          <w:szCs w:val="24"/>
          <w:lang w:val="en-GB"/>
        </w:rPr>
      </w:pPr>
      <w:r w:rsidRPr="00016BBD">
        <w:rPr>
          <w:rFonts w:ascii="Garamond" w:eastAsia="Calibri" w:hAnsi="Garamond" w:cs="Times New Roman"/>
          <w:b/>
          <w:sz w:val="24"/>
          <w:szCs w:val="24"/>
          <w:lang w:val="en-GB"/>
        </w:rPr>
        <w:t>Background document on the a</w:t>
      </w:r>
      <w:r w:rsidR="00973382" w:rsidRPr="00016BBD">
        <w:rPr>
          <w:rFonts w:ascii="Garamond" w:eastAsia="Calibri" w:hAnsi="Garamond" w:cs="Times New Roman"/>
          <w:b/>
          <w:sz w:val="24"/>
          <w:szCs w:val="24"/>
          <w:lang w:val="en-GB"/>
        </w:rPr>
        <w:t xml:space="preserve">mendments </w:t>
      </w:r>
      <w:bookmarkStart w:id="0" w:name="_GoBack"/>
      <w:bookmarkEnd w:id="0"/>
      <w:r w:rsidR="00973382" w:rsidRPr="00016BBD">
        <w:rPr>
          <w:rFonts w:ascii="Garamond" w:eastAsia="Calibri" w:hAnsi="Garamond" w:cs="Times New Roman"/>
          <w:b/>
          <w:sz w:val="24"/>
          <w:szCs w:val="24"/>
          <w:lang w:val="en-GB"/>
        </w:rPr>
        <w:t>to the Fundamental Law of Hungary</w:t>
      </w:r>
    </w:p>
    <w:p w:rsidR="00973382" w:rsidRPr="00016BBD" w:rsidRDefault="00973382" w:rsidP="00016BBD">
      <w:pPr>
        <w:spacing w:line="360" w:lineRule="auto"/>
        <w:jc w:val="center"/>
        <w:rPr>
          <w:rFonts w:ascii="Garamond" w:eastAsia="Calibri" w:hAnsi="Garamond" w:cs="Times New Roman"/>
          <w:b/>
          <w:sz w:val="24"/>
          <w:szCs w:val="24"/>
          <w:lang w:val="en-GB"/>
        </w:rPr>
      </w:pPr>
    </w:p>
    <w:p w:rsidR="00016BBD" w:rsidRPr="00016BBD" w:rsidRDefault="00016BBD" w:rsidP="00016BBD">
      <w:pPr>
        <w:pStyle w:val="Listaszerbekezds"/>
        <w:numPr>
          <w:ilvl w:val="0"/>
          <w:numId w:val="5"/>
        </w:numPr>
        <w:spacing w:line="360" w:lineRule="auto"/>
        <w:jc w:val="both"/>
        <w:rPr>
          <w:rFonts w:ascii="Garamond" w:eastAsia="Calibri" w:hAnsi="Garamond" w:cs="Times New Roman"/>
          <w:b/>
          <w:sz w:val="24"/>
          <w:szCs w:val="24"/>
          <w:lang w:val="en-GB"/>
        </w:rPr>
      </w:pPr>
      <w:r w:rsidRPr="00016BBD">
        <w:rPr>
          <w:rFonts w:ascii="Garamond" w:eastAsia="Calibri" w:hAnsi="Garamond" w:cs="Times New Roman"/>
          <w:b/>
          <w:sz w:val="24"/>
          <w:szCs w:val="24"/>
          <w:lang w:val="en-GB"/>
        </w:rPr>
        <w:t>Introductory remarks</w:t>
      </w:r>
    </w:p>
    <w:p w:rsidR="00D30D76" w:rsidRPr="00AA79B2" w:rsidRDefault="00D30D76" w:rsidP="00016BBD">
      <w:pPr>
        <w:spacing w:line="360" w:lineRule="auto"/>
        <w:jc w:val="both"/>
        <w:rPr>
          <w:rFonts w:ascii="Garamond" w:eastAsia="Calibri" w:hAnsi="Garamond" w:cs="Times New Roman"/>
          <w:sz w:val="24"/>
          <w:szCs w:val="24"/>
          <w:lang w:val="en-US"/>
        </w:rPr>
      </w:pPr>
      <w:r w:rsidRPr="00AA79B2">
        <w:rPr>
          <w:rFonts w:ascii="Garamond" w:eastAsia="Calibri" w:hAnsi="Garamond" w:cs="Times New Roman"/>
          <w:sz w:val="24"/>
          <w:szCs w:val="24"/>
          <w:lang w:val="en-GB"/>
        </w:rPr>
        <w:t xml:space="preserve">The Hungarian Parliament adopted Hungary’s new Fundamental Law on 25 April 2011 in the framework of a comprehensive </w:t>
      </w:r>
      <w:r w:rsidR="00394255" w:rsidRPr="00AA79B2">
        <w:rPr>
          <w:rFonts w:ascii="Garamond" w:eastAsia="Calibri" w:hAnsi="Garamond" w:cs="Times New Roman"/>
          <w:sz w:val="24"/>
          <w:szCs w:val="24"/>
          <w:lang w:val="en-GB"/>
        </w:rPr>
        <w:t>reform process launched</w:t>
      </w:r>
      <w:r w:rsidR="00972C53" w:rsidRPr="00AA79B2">
        <w:rPr>
          <w:rFonts w:ascii="Garamond" w:eastAsia="Calibri" w:hAnsi="Garamond" w:cs="Times New Roman"/>
          <w:sz w:val="24"/>
          <w:szCs w:val="24"/>
          <w:lang w:val="en-GB"/>
        </w:rPr>
        <w:t xml:space="preserve"> by the </w:t>
      </w:r>
      <w:proofErr w:type="spellStart"/>
      <w:r w:rsidR="00972C53" w:rsidRPr="00AA79B2">
        <w:rPr>
          <w:rFonts w:ascii="Garamond" w:eastAsia="Calibri" w:hAnsi="Garamond" w:cs="Times New Roman"/>
          <w:sz w:val="24"/>
          <w:szCs w:val="24"/>
          <w:lang w:val="en-GB"/>
        </w:rPr>
        <w:t>Fidesz</w:t>
      </w:r>
      <w:proofErr w:type="spellEnd"/>
      <w:r w:rsidR="00972C53" w:rsidRPr="00AA79B2">
        <w:rPr>
          <w:rFonts w:ascii="Garamond" w:eastAsia="Calibri" w:hAnsi="Garamond" w:cs="Times New Roman"/>
          <w:sz w:val="24"/>
          <w:szCs w:val="24"/>
          <w:lang w:val="en-GB"/>
        </w:rPr>
        <w:t xml:space="preserve"> Government</w:t>
      </w:r>
      <w:r w:rsidR="00394255" w:rsidRPr="00AA79B2">
        <w:rPr>
          <w:rFonts w:ascii="Garamond" w:eastAsia="Calibri" w:hAnsi="Garamond" w:cs="Times New Roman"/>
          <w:sz w:val="24"/>
          <w:szCs w:val="24"/>
          <w:lang w:val="en-GB"/>
        </w:rPr>
        <w:t xml:space="preserve"> in 2010. The </w:t>
      </w:r>
      <w:r w:rsidR="00394255" w:rsidRPr="00AA79B2">
        <w:rPr>
          <w:rFonts w:ascii="Garamond" w:eastAsia="Calibri" w:hAnsi="Garamond" w:cs="Times New Roman"/>
          <w:sz w:val="24"/>
          <w:szCs w:val="24"/>
          <w:lang w:val="en-US"/>
        </w:rPr>
        <w:t xml:space="preserve">law </w:t>
      </w:r>
      <w:r w:rsidRPr="00AA79B2">
        <w:rPr>
          <w:rFonts w:ascii="Garamond" w:eastAsia="Calibri" w:hAnsi="Garamond" w:cs="Times New Roman"/>
          <w:sz w:val="24"/>
          <w:szCs w:val="24"/>
          <w:lang w:val="en-US"/>
        </w:rPr>
        <w:t xml:space="preserve">came into effect on 1 January 2012. </w:t>
      </w:r>
    </w:p>
    <w:p w:rsidR="00C17352" w:rsidRPr="00AA79B2" w:rsidRDefault="00972C53" w:rsidP="00016BBD">
      <w:pPr>
        <w:spacing w:line="360" w:lineRule="auto"/>
        <w:jc w:val="both"/>
        <w:rPr>
          <w:rFonts w:ascii="Garamond" w:eastAsia="Calibri" w:hAnsi="Garamond" w:cs="Times New Roman"/>
          <w:sz w:val="24"/>
          <w:szCs w:val="24"/>
          <w:lang w:val="en-US"/>
        </w:rPr>
      </w:pPr>
      <w:r w:rsidRPr="00AA79B2">
        <w:rPr>
          <w:rFonts w:ascii="Garamond" w:eastAsia="Calibri" w:hAnsi="Garamond" w:cs="Times New Roman"/>
          <w:sz w:val="24"/>
          <w:szCs w:val="24"/>
          <w:lang w:val="en-US"/>
        </w:rPr>
        <w:t>I</w:t>
      </w:r>
      <w:r w:rsidR="00394255" w:rsidRPr="00AA79B2">
        <w:rPr>
          <w:rFonts w:ascii="Garamond" w:eastAsia="Calibri" w:hAnsi="Garamond" w:cs="Times New Roman"/>
          <w:sz w:val="24"/>
          <w:szCs w:val="24"/>
          <w:lang w:val="en-US"/>
        </w:rPr>
        <w:t>n contrast with the former constitution</w:t>
      </w:r>
      <w:r w:rsidRPr="00AA79B2">
        <w:rPr>
          <w:rFonts w:ascii="Garamond" w:eastAsia="Calibri" w:hAnsi="Garamond" w:cs="Times New Roman"/>
          <w:sz w:val="24"/>
          <w:szCs w:val="24"/>
          <w:lang w:val="en-US"/>
        </w:rPr>
        <w:t xml:space="preserve"> based on the Soviet model and</w:t>
      </w:r>
      <w:r w:rsidR="00394255" w:rsidRPr="00AA79B2">
        <w:rPr>
          <w:rFonts w:ascii="Garamond" w:eastAsia="Calibri" w:hAnsi="Garamond" w:cs="Times New Roman"/>
          <w:sz w:val="24"/>
          <w:szCs w:val="24"/>
          <w:lang w:val="en-US"/>
        </w:rPr>
        <w:t xml:space="preserve"> adopted in </w:t>
      </w:r>
      <w:r w:rsidRPr="00AA79B2">
        <w:rPr>
          <w:rFonts w:ascii="Garamond" w:eastAsia="Calibri" w:hAnsi="Garamond" w:cs="Times New Roman"/>
          <w:sz w:val="24"/>
          <w:szCs w:val="24"/>
          <w:lang w:val="en-US"/>
        </w:rPr>
        <w:t>1949,</w:t>
      </w:r>
      <w:r w:rsidR="00AA79B2" w:rsidRPr="00AA79B2">
        <w:rPr>
          <w:rFonts w:ascii="Garamond" w:eastAsia="Times New Roman" w:hAnsi="Garamond"/>
          <w:sz w:val="24"/>
          <w:szCs w:val="24"/>
          <w:lang w:val="en-US"/>
        </w:rPr>
        <w:t xml:space="preserve"> -about which everyone agreed that it had to be replaced</w:t>
      </w:r>
      <w:r w:rsidR="00AA79B2" w:rsidRPr="00AA79B2">
        <w:rPr>
          <w:rFonts w:ascii="Garamond" w:eastAsia="Calibri" w:hAnsi="Garamond" w:cs="Times New Roman"/>
          <w:sz w:val="24"/>
          <w:szCs w:val="24"/>
          <w:lang w:val="en-US"/>
        </w:rPr>
        <w:t xml:space="preserve"> - </w:t>
      </w:r>
      <w:r w:rsidRPr="00AA79B2">
        <w:rPr>
          <w:rFonts w:ascii="Garamond" w:eastAsia="Calibri" w:hAnsi="Garamond" w:cs="Times New Roman"/>
          <w:sz w:val="24"/>
          <w:szCs w:val="24"/>
          <w:lang w:val="en-US"/>
        </w:rPr>
        <w:t xml:space="preserve">the new Fundamental Law </w:t>
      </w:r>
      <w:r w:rsidR="00D30D76" w:rsidRPr="00AA79B2">
        <w:rPr>
          <w:rFonts w:ascii="Garamond" w:eastAsia="Calibri" w:hAnsi="Garamond" w:cs="Times New Roman"/>
          <w:sz w:val="24"/>
          <w:szCs w:val="24"/>
          <w:lang w:val="en-US"/>
        </w:rPr>
        <w:t xml:space="preserve">establishes a constitutional order based on democracy, the rule of law and the protection of fundamental rights as underlying principles, </w:t>
      </w:r>
      <w:r w:rsidRPr="00AA79B2">
        <w:rPr>
          <w:rFonts w:ascii="Garamond" w:eastAsia="Calibri" w:hAnsi="Garamond" w:cs="Times New Roman"/>
          <w:sz w:val="24"/>
          <w:szCs w:val="24"/>
          <w:lang w:val="en-US"/>
        </w:rPr>
        <w:t>c</w:t>
      </w:r>
      <w:r w:rsidR="00D30D76" w:rsidRPr="00AA79B2">
        <w:rPr>
          <w:rFonts w:ascii="Garamond" w:eastAsia="Calibri" w:hAnsi="Garamond" w:cs="Times New Roman"/>
          <w:sz w:val="24"/>
          <w:szCs w:val="24"/>
          <w:lang w:val="en-US"/>
        </w:rPr>
        <w:t xml:space="preserve">omplying </w:t>
      </w:r>
      <w:r w:rsidRPr="00AA79B2">
        <w:rPr>
          <w:rFonts w:ascii="Garamond" w:eastAsia="Calibri" w:hAnsi="Garamond" w:cs="Times New Roman"/>
          <w:sz w:val="24"/>
          <w:szCs w:val="24"/>
          <w:lang w:val="en-US"/>
        </w:rPr>
        <w:t xml:space="preserve">fully </w:t>
      </w:r>
      <w:r w:rsidR="00D30D76" w:rsidRPr="00AA79B2">
        <w:rPr>
          <w:rFonts w:ascii="Garamond" w:eastAsia="Calibri" w:hAnsi="Garamond" w:cs="Times New Roman"/>
          <w:sz w:val="24"/>
          <w:szCs w:val="24"/>
          <w:lang w:val="en-US"/>
        </w:rPr>
        <w:t xml:space="preserve">with the common European democratic values and standards. </w:t>
      </w:r>
    </w:p>
    <w:p w:rsidR="00973382" w:rsidRPr="003750D7" w:rsidRDefault="003750D7" w:rsidP="00016BBD">
      <w:pPr>
        <w:spacing w:line="360" w:lineRule="auto"/>
        <w:jc w:val="both"/>
        <w:rPr>
          <w:rFonts w:ascii="TimesNewRoman" w:hAnsi="TimesNewRoman" w:cs="TimesNewRoman"/>
          <w:sz w:val="24"/>
          <w:szCs w:val="24"/>
          <w:lang w:val="en-GB"/>
        </w:rPr>
      </w:pPr>
      <w:r w:rsidRPr="00AA79B2">
        <w:rPr>
          <w:rFonts w:ascii="Garamond" w:eastAsia="Calibri" w:hAnsi="Garamond" w:cs="Times New Roman"/>
          <w:sz w:val="24"/>
          <w:szCs w:val="24"/>
          <w:lang w:val="en-GB"/>
        </w:rPr>
        <w:t xml:space="preserve">The Fundamental Law was first amended on 18 June 2012, stipulating on the one hand that </w:t>
      </w:r>
      <w:r w:rsidR="00604CB6" w:rsidRPr="00AA79B2">
        <w:rPr>
          <w:rFonts w:ascii="Garamond" w:eastAsia="Calibri" w:hAnsi="Garamond" w:cs="Times New Roman"/>
          <w:sz w:val="24"/>
          <w:szCs w:val="24"/>
          <w:lang w:val="en-GB"/>
        </w:rPr>
        <w:t xml:space="preserve">temporary provisions </w:t>
      </w:r>
      <w:r w:rsidR="00794F7B" w:rsidRPr="00AA79B2">
        <w:rPr>
          <w:rFonts w:ascii="Garamond" w:eastAsia="Calibri" w:hAnsi="Garamond" w:cs="Times New Roman"/>
          <w:sz w:val="24"/>
          <w:szCs w:val="24"/>
          <w:lang w:val="en-GB"/>
        </w:rPr>
        <w:t>were</w:t>
      </w:r>
      <w:r w:rsidR="00981BDA" w:rsidRPr="00AA79B2">
        <w:rPr>
          <w:rFonts w:ascii="Garamond" w:eastAsia="Calibri" w:hAnsi="Garamond" w:cs="Times New Roman"/>
          <w:sz w:val="24"/>
          <w:szCs w:val="24"/>
          <w:lang w:val="en-GB"/>
        </w:rPr>
        <w:t xml:space="preserve"> integr</w:t>
      </w:r>
      <w:r w:rsidRPr="00AA79B2">
        <w:rPr>
          <w:rFonts w:ascii="Garamond" w:eastAsia="Calibri" w:hAnsi="Garamond" w:cs="Times New Roman"/>
          <w:sz w:val="24"/>
          <w:szCs w:val="24"/>
          <w:lang w:val="en-GB"/>
        </w:rPr>
        <w:t>al part of the Fundamental Law and abolishin</w:t>
      </w:r>
      <w:r w:rsidR="00331B2A" w:rsidRPr="00AA79B2">
        <w:rPr>
          <w:rFonts w:ascii="Garamond" w:eastAsia="Calibri" w:hAnsi="Garamond" w:cs="Times New Roman"/>
          <w:sz w:val="24"/>
          <w:szCs w:val="24"/>
          <w:lang w:val="en-GB"/>
        </w:rPr>
        <w:t>g, on the other hand, Article XXX</w:t>
      </w:r>
      <w:r w:rsidRPr="00AA79B2">
        <w:rPr>
          <w:rFonts w:ascii="Garamond" w:eastAsia="Calibri" w:hAnsi="Garamond" w:cs="Times New Roman"/>
          <w:sz w:val="24"/>
          <w:szCs w:val="24"/>
          <w:lang w:val="en-GB"/>
        </w:rPr>
        <w:t xml:space="preserve"> on the Central Bank. </w:t>
      </w:r>
      <w:r w:rsidR="003B1FFA" w:rsidRPr="00AA79B2">
        <w:rPr>
          <w:rFonts w:ascii="Garamond" w:eastAsia="Calibri" w:hAnsi="Garamond" w:cs="Times New Roman"/>
          <w:sz w:val="24"/>
          <w:szCs w:val="24"/>
          <w:lang w:val="en-GB"/>
        </w:rPr>
        <w:t xml:space="preserve">The Second </w:t>
      </w:r>
      <w:r w:rsidR="00215BD2" w:rsidRPr="00AA79B2">
        <w:rPr>
          <w:rFonts w:ascii="Garamond" w:eastAsia="Calibri" w:hAnsi="Garamond" w:cs="Times New Roman"/>
          <w:sz w:val="24"/>
          <w:szCs w:val="24"/>
          <w:lang w:val="en-GB"/>
        </w:rPr>
        <w:t>amendment t</w:t>
      </w:r>
      <w:r w:rsidRPr="00AA79B2">
        <w:rPr>
          <w:rFonts w:ascii="Garamond" w:eastAsia="Calibri" w:hAnsi="Garamond" w:cs="Times New Roman"/>
          <w:sz w:val="24"/>
          <w:szCs w:val="24"/>
          <w:lang w:val="en-GB"/>
        </w:rPr>
        <w:t>o the Fundamental Law on</w:t>
      </w:r>
      <w:r w:rsidR="00215BD2" w:rsidRPr="00AA79B2">
        <w:rPr>
          <w:rFonts w:ascii="Garamond" w:eastAsia="Calibri" w:hAnsi="Garamond" w:cs="Times New Roman"/>
          <w:sz w:val="24"/>
          <w:szCs w:val="24"/>
          <w:lang w:val="en-GB"/>
        </w:rPr>
        <w:t xml:space="preserve"> </w:t>
      </w:r>
      <w:r w:rsidR="002C7EF7" w:rsidRPr="00AA79B2">
        <w:rPr>
          <w:rFonts w:ascii="Garamond" w:eastAsia="Calibri" w:hAnsi="Garamond" w:cs="Times New Roman"/>
          <w:sz w:val="24"/>
          <w:szCs w:val="24"/>
          <w:lang w:val="en-GB"/>
        </w:rPr>
        <w:t xml:space="preserve">the validity of national referenda </w:t>
      </w:r>
      <w:r w:rsidRPr="00AA79B2">
        <w:rPr>
          <w:rFonts w:ascii="Garamond" w:eastAsia="Calibri" w:hAnsi="Garamond" w:cs="Times New Roman"/>
          <w:sz w:val="24"/>
          <w:szCs w:val="24"/>
          <w:lang w:val="en-GB"/>
        </w:rPr>
        <w:t xml:space="preserve">was passed on </w:t>
      </w:r>
      <w:r w:rsidR="002C7EF7" w:rsidRPr="00AA79B2">
        <w:rPr>
          <w:rFonts w:ascii="Garamond" w:eastAsia="Calibri" w:hAnsi="Garamond" w:cs="Times New Roman"/>
          <w:sz w:val="24"/>
          <w:szCs w:val="24"/>
          <w:lang w:val="en-GB"/>
        </w:rPr>
        <w:t>18 September 2012</w:t>
      </w:r>
      <w:r w:rsidRPr="00AA79B2">
        <w:rPr>
          <w:rFonts w:ascii="Garamond" w:hAnsi="Garamond" w:cs="TimesNewRoman"/>
          <w:sz w:val="24"/>
          <w:szCs w:val="24"/>
          <w:lang w:val="en-GB"/>
        </w:rPr>
        <w:t xml:space="preserve"> and stated that a</w:t>
      </w:r>
      <w:r w:rsidR="002C7EF7" w:rsidRPr="00AA79B2">
        <w:rPr>
          <w:rFonts w:ascii="Garamond" w:hAnsi="Garamond" w:cs="TimesNewRoman"/>
          <w:sz w:val="24"/>
          <w:szCs w:val="24"/>
          <w:lang w:val="en-GB"/>
        </w:rPr>
        <w:t xml:space="preserve"> national referendum shall be valid if more than half of all e</w:t>
      </w:r>
      <w:r w:rsidRPr="00AA79B2">
        <w:rPr>
          <w:rFonts w:ascii="Garamond" w:hAnsi="Garamond" w:cs="TimesNewRoman"/>
          <w:sz w:val="24"/>
          <w:szCs w:val="24"/>
          <w:lang w:val="en-GB"/>
        </w:rPr>
        <w:t xml:space="preserve">lectors have cast a valid vote. Furthermore, </w:t>
      </w:r>
      <w:r w:rsidR="00016BBD" w:rsidRPr="00AA79B2">
        <w:rPr>
          <w:rFonts w:ascii="Garamond" w:hAnsi="Garamond" w:cs="TimesNewRoman"/>
          <w:sz w:val="24"/>
          <w:szCs w:val="24"/>
          <w:lang w:val="en-GB"/>
        </w:rPr>
        <w:t>o</w:t>
      </w:r>
      <w:r w:rsidRPr="00AA79B2">
        <w:rPr>
          <w:rFonts w:ascii="Garamond" w:hAnsi="Garamond" w:cs="TimesNewRoman"/>
          <w:sz w:val="24"/>
          <w:szCs w:val="24"/>
          <w:lang w:val="en-GB"/>
        </w:rPr>
        <w:t>n voter registration it incorporated that a</w:t>
      </w:r>
      <w:r w:rsidR="000045FA" w:rsidRPr="00AA79B2">
        <w:rPr>
          <w:rFonts w:ascii="Garamond" w:hAnsi="Garamond" w:cs="TimesNewRoman"/>
          <w:sz w:val="24"/>
          <w:szCs w:val="24"/>
          <w:lang w:val="en-GB"/>
        </w:rPr>
        <w:t xml:space="preserve"> cardinal act may bind the exercise of voting right to voter registration</w:t>
      </w:r>
      <w:r w:rsidR="000045FA" w:rsidRPr="00AA79B2">
        <w:rPr>
          <w:rFonts w:ascii="Garamond" w:hAnsi="Garamond"/>
          <w:sz w:val="24"/>
          <w:szCs w:val="24"/>
          <w:lang w:val="en-GB"/>
        </w:rPr>
        <w:t xml:space="preserve"> </w:t>
      </w:r>
      <w:r w:rsidR="000045FA" w:rsidRPr="00AA79B2">
        <w:rPr>
          <w:rFonts w:ascii="Garamond" w:hAnsi="Garamond" w:cs="TimesNewRoman"/>
          <w:sz w:val="24"/>
          <w:szCs w:val="24"/>
          <w:lang w:val="en-GB"/>
        </w:rPr>
        <w:t>on request</w:t>
      </w:r>
      <w:r w:rsidRPr="00AA79B2">
        <w:rPr>
          <w:rFonts w:ascii="Garamond" w:hAnsi="Garamond" w:cs="TimesNewRoman"/>
          <w:sz w:val="24"/>
          <w:szCs w:val="24"/>
          <w:lang w:val="en-GB"/>
        </w:rPr>
        <w:t xml:space="preserve">. </w:t>
      </w:r>
      <w:r w:rsidR="00B240CC" w:rsidRPr="00AA79B2">
        <w:rPr>
          <w:rFonts w:ascii="Garamond" w:hAnsi="Garamond"/>
          <w:sz w:val="24"/>
          <w:szCs w:val="24"/>
          <w:lang w:val="en-GB"/>
        </w:rPr>
        <w:t>The</w:t>
      </w:r>
      <w:r w:rsidR="00016BBD" w:rsidRPr="00AA79B2">
        <w:rPr>
          <w:rFonts w:ascii="Garamond" w:hAnsi="Garamond"/>
          <w:sz w:val="24"/>
          <w:szCs w:val="24"/>
          <w:lang w:val="en-GB"/>
        </w:rPr>
        <w:t xml:space="preserve"> t</w:t>
      </w:r>
      <w:r w:rsidR="00B240CC" w:rsidRPr="00AA79B2">
        <w:rPr>
          <w:rFonts w:ascii="Garamond" w:hAnsi="Garamond"/>
          <w:sz w:val="24"/>
          <w:szCs w:val="24"/>
          <w:lang w:val="en-GB"/>
        </w:rPr>
        <w:t xml:space="preserve">hird amendment </w:t>
      </w:r>
      <w:r w:rsidRPr="00AA79B2">
        <w:rPr>
          <w:rFonts w:ascii="Garamond" w:hAnsi="Garamond"/>
          <w:sz w:val="24"/>
          <w:szCs w:val="24"/>
          <w:lang w:val="en-GB"/>
        </w:rPr>
        <w:t>concerned the</w:t>
      </w:r>
      <w:r w:rsidR="003D2551" w:rsidRPr="00AA79B2">
        <w:rPr>
          <w:rFonts w:ascii="Garamond" w:hAnsi="Garamond"/>
          <w:sz w:val="24"/>
          <w:szCs w:val="24"/>
          <w:lang w:val="en-GB"/>
        </w:rPr>
        <w:t xml:space="preserve"> Land Act </w:t>
      </w:r>
      <w:r w:rsidRPr="00AA79B2">
        <w:rPr>
          <w:rFonts w:ascii="Garamond" w:hAnsi="Garamond"/>
          <w:sz w:val="24"/>
          <w:szCs w:val="24"/>
          <w:lang w:val="en-GB"/>
        </w:rPr>
        <w:t xml:space="preserve">and was passed on 7 December 2012. Article P with this regard has been modified by the addition of the following paragraph: </w:t>
      </w:r>
      <w:r w:rsidR="00973382" w:rsidRPr="00AA79B2">
        <w:rPr>
          <w:rFonts w:ascii="Garamond" w:hAnsi="Garamond"/>
          <w:sz w:val="24"/>
          <w:szCs w:val="24"/>
          <w:lang w:val="en-GB"/>
        </w:rPr>
        <w:t>“The acquisition of farmland and forests, the limits and conditions required for the realisation of the goals determined in paragraph (1), and the regulations regarding integrated agricultural production management and agricultural units are determined by a cardinal</w:t>
      </w:r>
      <w:r w:rsidR="00973382" w:rsidRPr="003750D7">
        <w:rPr>
          <w:rFonts w:ascii="Garamond" w:hAnsi="Garamond"/>
          <w:sz w:val="24"/>
          <w:szCs w:val="24"/>
          <w:lang w:val="en-GB"/>
        </w:rPr>
        <w:t xml:space="preserve"> act.”</w:t>
      </w:r>
    </w:p>
    <w:p w:rsidR="00016BBD" w:rsidRDefault="00016BBD" w:rsidP="00016BBD">
      <w:pPr>
        <w:spacing w:line="360" w:lineRule="auto"/>
        <w:jc w:val="both"/>
        <w:rPr>
          <w:rFonts w:ascii="Garamond" w:hAnsi="Garamond"/>
          <w:sz w:val="24"/>
          <w:szCs w:val="24"/>
          <w:lang w:val="en-GB"/>
        </w:rPr>
      </w:pPr>
    </w:p>
    <w:p w:rsidR="00016BBD" w:rsidRPr="00016BBD" w:rsidRDefault="00016BBD" w:rsidP="00016BBD">
      <w:pPr>
        <w:pStyle w:val="Listaszerbekezds"/>
        <w:numPr>
          <w:ilvl w:val="0"/>
          <w:numId w:val="5"/>
        </w:numPr>
        <w:spacing w:line="360" w:lineRule="auto"/>
        <w:jc w:val="both"/>
        <w:rPr>
          <w:rFonts w:ascii="Garamond" w:hAnsi="Garamond"/>
          <w:b/>
          <w:sz w:val="24"/>
          <w:szCs w:val="24"/>
          <w:lang w:val="en-GB"/>
        </w:rPr>
      </w:pPr>
      <w:r w:rsidRPr="00016BBD">
        <w:rPr>
          <w:rFonts w:ascii="Garamond" w:hAnsi="Garamond"/>
          <w:b/>
          <w:sz w:val="24"/>
          <w:szCs w:val="24"/>
          <w:lang w:val="en-GB"/>
        </w:rPr>
        <w:t xml:space="preserve">The fourth amendment </w:t>
      </w:r>
    </w:p>
    <w:p w:rsidR="00016BBD" w:rsidRDefault="00B240CC" w:rsidP="00016BBD">
      <w:pPr>
        <w:spacing w:line="360" w:lineRule="auto"/>
        <w:jc w:val="both"/>
        <w:rPr>
          <w:rFonts w:ascii="Garamond" w:hAnsi="Garamond"/>
          <w:sz w:val="24"/>
          <w:szCs w:val="24"/>
          <w:lang w:val="en-GB"/>
        </w:rPr>
      </w:pPr>
      <w:r w:rsidRPr="00B240CC">
        <w:rPr>
          <w:rFonts w:ascii="Garamond" w:hAnsi="Garamond"/>
          <w:sz w:val="24"/>
          <w:szCs w:val="24"/>
          <w:lang w:val="en-GB"/>
        </w:rPr>
        <w:t>In December 2012</w:t>
      </w:r>
      <w:r w:rsidR="00016BBD">
        <w:rPr>
          <w:rFonts w:ascii="Garamond" w:hAnsi="Garamond"/>
          <w:sz w:val="24"/>
          <w:szCs w:val="24"/>
          <w:lang w:val="en-GB"/>
        </w:rPr>
        <w:t>,</w:t>
      </w:r>
      <w:r w:rsidRPr="00B240CC">
        <w:rPr>
          <w:rFonts w:ascii="Garamond" w:hAnsi="Garamond"/>
          <w:sz w:val="24"/>
          <w:szCs w:val="24"/>
          <w:lang w:val="en-GB"/>
        </w:rPr>
        <w:t xml:space="preserve"> the Constitutional Court nullified some of the temporary provisions of the Fundamental Law ruling that constitution-level provisions should not be included in two separate legislative texts. The reason provided by the Constitutional Court did not express any criticism in terms of content, with the exception of the institution of mandatory voter registration for Hungarian residents, the proposal on which, in accordance with the court decision, was subsequently abolished by the</w:t>
      </w:r>
      <w:r w:rsidR="000045FA">
        <w:rPr>
          <w:rFonts w:ascii="Garamond" w:hAnsi="Garamond"/>
          <w:sz w:val="24"/>
          <w:szCs w:val="24"/>
          <w:lang w:val="en-GB"/>
        </w:rPr>
        <w:t xml:space="preserve"> initiator</w:t>
      </w:r>
      <w:r w:rsidRPr="00B240CC">
        <w:rPr>
          <w:rFonts w:ascii="Garamond" w:hAnsi="Garamond"/>
          <w:sz w:val="24"/>
          <w:szCs w:val="24"/>
          <w:lang w:val="en-GB"/>
        </w:rPr>
        <w:t xml:space="preserve"> </w:t>
      </w:r>
      <w:proofErr w:type="spellStart"/>
      <w:r w:rsidRPr="00B240CC">
        <w:rPr>
          <w:rFonts w:ascii="Garamond" w:hAnsi="Garamond"/>
          <w:sz w:val="24"/>
          <w:szCs w:val="24"/>
          <w:lang w:val="en-GB"/>
        </w:rPr>
        <w:t>Fidesz</w:t>
      </w:r>
      <w:proofErr w:type="spellEnd"/>
      <w:r w:rsidRPr="00B240CC">
        <w:rPr>
          <w:rFonts w:ascii="Garamond" w:hAnsi="Garamond"/>
          <w:sz w:val="24"/>
          <w:szCs w:val="24"/>
          <w:lang w:val="en-GB"/>
        </w:rPr>
        <w:t xml:space="preserve"> parliamentary fraction.</w:t>
      </w:r>
    </w:p>
    <w:p w:rsidR="00016BBD" w:rsidRDefault="00016BBD" w:rsidP="00016BBD">
      <w:pPr>
        <w:spacing w:line="360" w:lineRule="auto"/>
        <w:jc w:val="both"/>
        <w:rPr>
          <w:rFonts w:ascii="Garamond" w:hAnsi="Garamond"/>
          <w:sz w:val="24"/>
          <w:szCs w:val="24"/>
          <w:lang w:val="en-GB"/>
        </w:rPr>
      </w:pPr>
      <w:r>
        <w:rPr>
          <w:rFonts w:ascii="Garamond" w:hAnsi="Garamond"/>
          <w:sz w:val="24"/>
          <w:szCs w:val="24"/>
          <w:lang w:val="en-GB"/>
        </w:rPr>
        <w:lastRenderedPageBreak/>
        <w:t>In accordance with the latest ruling of the Constitutional Court</w:t>
      </w:r>
      <w:r w:rsidR="00973382">
        <w:rPr>
          <w:rFonts w:ascii="Garamond" w:hAnsi="Garamond"/>
          <w:sz w:val="24"/>
          <w:szCs w:val="24"/>
          <w:lang w:val="en-GB"/>
        </w:rPr>
        <w:t>, the Parliament is currently discussing the fourth a</w:t>
      </w:r>
      <w:r>
        <w:rPr>
          <w:rFonts w:ascii="Garamond" w:hAnsi="Garamond"/>
          <w:sz w:val="24"/>
          <w:szCs w:val="24"/>
          <w:lang w:val="en-GB"/>
        </w:rPr>
        <w:t xml:space="preserve">mendment to the Fundamental Law. </w:t>
      </w:r>
    </w:p>
    <w:p w:rsidR="00016BBD" w:rsidRDefault="00016BBD" w:rsidP="00016BBD">
      <w:pPr>
        <w:spacing w:line="360" w:lineRule="auto"/>
        <w:jc w:val="both"/>
        <w:rPr>
          <w:rFonts w:ascii="Garamond" w:hAnsi="Garamond"/>
          <w:sz w:val="24"/>
          <w:szCs w:val="24"/>
          <w:lang w:val="en-GB"/>
        </w:rPr>
      </w:pPr>
    </w:p>
    <w:p w:rsidR="00016BBD" w:rsidRPr="00016BBD" w:rsidRDefault="00412FAC" w:rsidP="00016BBD">
      <w:pPr>
        <w:pStyle w:val="Listaszerbekezds"/>
        <w:numPr>
          <w:ilvl w:val="1"/>
          <w:numId w:val="5"/>
        </w:numPr>
        <w:spacing w:after="0" w:line="360" w:lineRule="auto"/>
        <w:rPr>
          <w:rFonts w:ascii="Garamond" w:eastAsia="Times New Roman" w:hAnsi="Garamond" w:cs="Times New Roman"/>
          <w:b/>
          <w:sz w:val="24"/>
          <w:szCs w:val="24"/>
          <w:lang w:val="en-GB" w:eastAsia="en-GB"/>
        </w:rPr>
      </w:pPr>
      <w:r>
        <w:rPr>
          <w:rFonts w:ascii="Garamond" w:eastAsia="Times New Roman" w:hAnsi="Garamond" w:cs="Times New Roman"/>
          <w:b/>
          <w:sz w:val="24"/>
          <w:szCs w:val="24"/>
          <w:lang w:val="en-GB" w:eastAsia="en-GB"/>
        </w:rPr>
        <w:t xml:space="preserve">Temporary provisions - </w:t>
      </w:r>
      <w:r w:rsidR="00016BBD" w:rsidRPr="00016BBD">
        <w:rPr>
          <w:rFonts w:ascii="Garamond" w:eastAsia="Times New Roman" w:hAnsi="Garamond" w:cs="Times New Roman"/>
          <w:b/>
          <w:sz w:val="24"/>
          <w:szCs w:val="24"/>
          <w:lang w:val="en-GB" w:eastAsia="en-GB"/>
        </w:rPr>
        <w:t>The reasons for the new amendment</w:t>
      </w:r>
    </w:p>
    <w:p w:rsidR="00016BBD" w:rsidRDefault="00016BBD" w:rsidP="00016BBD">
      <w:pPr>
        <w:spacing w:after="0" w:line="360" w:lineRule="auto"/>
        <w:jc w:val="both"/>
        <w:rPr>
          <w:rFonts w:ascii="Garamond" w:eastAsia="Times New Roman" w:hAnsi="Garamond" w:cs="Times New Roman"/>
          <w:sz w:val="24"/>
          <w:szCs w:val="24"/>
          <w:lang w:val="en-GB" w:eastAsia="en-GB"/>
        </w:rPr>
      </w:pPr>
    </w:p>
    <w:p w:rsidR="009B300A"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Point 3 of the Closing Statements of the Fundamental Law, the </w:t>
      </w:r>
      <w:r w:rsidR="009B300A">
        <w:rPr>
          <w:rFonts w:ascii="Garamond" w:eastAsia="Times New Roman" w:hAnsi="Garamond" w:cs="Times New Roman"/>
          <w:sz w:val="24"/>
          <w:szCs w:val="24"/>
          <w:lang w:val="en-GB" w:eastAsia="en-GB"/>
        </w:rPr>
        <w:t xml:space="preserve">Parliament </w:t>
      </w:r>
      <w:r w:rsidRPr="00016BBD">
        <w:rPr>
          <w:rFonts w:ascii="Garamond" w:eastAsia="Times New Roman" w:hAnsi="Garamond" w:cs="Times New Roman"/>
          <w:sz w:val="24"/>
          <w:szCs w:val="24"/>
          <w:lang w:val="en-GB" w:eastAsia="en-GB"/>
        </w:rPr>
        <w:t>determined that, operating as a constitutional law-maker, it would adopt the temporary provisions related to the Fundamental Law in a separate document. It was on the basis of this</w:t>
      </w:r>
      <w:r w:rsidR="00412FAC">
        <w:rPr>
          <w:rFonts w:ascii="Garamond" w:eastAsia="Times New Roman" w:hAnsi="Garamond" w:cs="Times New Roman"/>
          <w:sz w:val="24"/>
          <w:szCs w:val="24"/>
          <w:lang w:val="en-GB" w:eastAsia="en-GB"/>
        </w:rPr>
        <w:t xml:space="preserve"> that P</w:t>
      </w:r>
      <w:r w:rsidRPr="00016BBD">
        <w:rPr>
          <w:rFonts w:ascii="Garamond" w:eastAsia="Times New Roman" w:hAnsi="Garamond" w:cs="Times New Roman"/>
          <w:sz w:val="24"/>
          <w:szCs w:val="24"/>
          <w:lang w:val="en-GB" w:eastAsia="en-GB"/>
        </w:rPr>
        <w:t xml:space="preserve">arliament adopted the temporary provisions of the Fundamental Law of Hungary </w:t>
      </w:r>
      <w:r w:rsidR="009B300A">
        <w:rPr>
          <w:rFonts w:ascii="Garamond" w:eastAsia="Times New Roman" w:hAnsi="Garamond" w:cs="Times New Roman"/>
          <w:sz w:val="24"/>
          <w:szCs w:val="24"/>
          <w:lang w:val="en-GB" w:eastAsia="en-GB"/>
        </w:rPr>
        <w:t>on 11 December 2011</w:t>
      </w:r>
      <w:r w:rsidRPr="00016BBD">
        <w:rPr>
          <w:rFonts w:ascii="Garamond" w:eastAsia="Times New Roman" w:hAnsi="Garamond" w:cs="Times New Roman"/>
          <w:sz w:val="24"/>
          <w:szCs w:val="24"/>
          <w:lang w:val="en-GB" w:eastAsia="en-GB"/>
        </w:rPr>
        <w:t xml:space="preserve">. </w:t>
      </w:r>
    </w:p>
    <w:p w:rsidR="009B300A" w:rsidRDefault="009B300A" w:rsidP="00016BBD">
      <w:pPr>
        <w:spacing w:after="0" w:line="360" w:lineRule="auto"/>
        <w:jc w:val="both"/>
        <w:rPr>
          <w:rFonts w:ascii="Garamond" w:eastAsia="Times New Roman" w:hAnsi="Garamond" w:cs="Times New Roman"/>
          <w:sz w:val="24"/>
          <w:szCs w:val="24"/>
          <w:lang w:val="en-GB" w:eastAsia="en-GB"/>
        </w:rPr>
      </w:pPr>
    </w:p>
    <w:p w:rsid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Temporary Provisions and later, following the amendment adopted in June 2012, the Fundamental Law itself also stated t</w:t>
      </w:r>
      <w:r w:rsidR="009B300A">
        <w:rPr>
          <w:rFonts w:ascii="Garamond" w:eastAsia="Times New Roman" w:hAnsi="Garamond" w:cs="Times New Roman"/>
          <w:sz w:val="24"/>
          <w:szCs w:val="24"/>
          <w:lang w:val="en-GB" w:eastAsia="en-GB"/>
        </w:rPr>
        <w:t>hat the Temporary Provisions were</w:t>
      </w:r>
      <w:r w:rsidR="00412FAC">
        <w:rPr>
          <w:rFonts w:ascii="Garamond" w:eastAsia="Times New Roman" w:hAnsi="Garamond" w:cs="Times New Roman"/>
          <w:sz w:val="24"/>
          <w:szCs w:val="24"/>
          <w:lang w:val="en-GB" w:eastAsia="en-GB"/>
        </w:rPr>
        <w:t xml:space="preserve"> part of the Fundamental Law. The constituent a</w:t>
      </w:r>
      <w:r w:rsidRPr="00016BBD">
        <w:rPr>
          <w:rFonts w:ascii="Garamond" w:eastAsia="Times New Roman" w:hAnsi="Garamond" w:cs="Times New Roman"/>
          <w:sz w:val="24"/>
          <w:szCs w:val="24"/>
          <w:lang w:val="en-GB" w:eastAsia="en-GB"/>
        </w:rPr>
        <w:t>ssembly therefore determined that i</w:t>
      </w:r>
      <w:r w:rsidR="0074051D">
        <w:rPr>
          <w:rFonts w:ascii="Garamond" w:eastAsia="Times New Roman" w:hAnsi="Garamond" w:cs="Times New Roman"/>
          <w:sz w:val="24"/>
          <w:szCs w:val="24"/>
          <w:lang w:val="en-GB" w:eastAsia="en-GB"/>
        </w:rPr>
        <w:t>t would split the</w:t>
      </w:r>
      <w:r w:rsidRPr="00016BBD">
        <w:rPr>
          <w:rFonts w:ascii="Garamond" w:eastAsia="Times New Roman" w:hAnsi="Garamond" w:cs="Times New Roman"/>
          <w:sz w:val="24"/>
          <w:szCs w:val="24"/>
          <w:lang w:val="en-GB" w:eastAsia="en-GB"/>
        </w:rPr>
        <w:t xml:space="preserve"> unified Fundamental Law into </w:t>
      </w:r>
      <w:r w:rsidR="0074051D">
        <w:rPr>
          <w:rFonts w:ascii="Garamond" w:eastAsia="Times New Roman" w:hAnsi="Garamond" w:cs="Times New Roman"/>
          <w:sz w:val="24"/>
          <w:szCs w:val="24"/>
          <w:lang w:val="en-GB" w:eastAsia="en-GB"/>
        </w:rPr>
        <w:t>two formal parts, in which the main text</w:t>
      </w:r>
      <w:r w:rsidRPr="00016BBD">
        <w:rPr>
          <w:rFonts w:ascii="Garamond" w:eastAsia="Times New Roman" w:hAnsi="Garamond" w:cs="Times New Roman"/>
          <w:sz w:val="24"/>
          <w:szCs w:val="24"/>
          <w:lang w:val="en-GB" w:eastAsia="en-GB"/>
        </w:rPr>
        <w:t xml:space="preserve"> included in the first part is followed by the temporary provisions of the second part. The </w:t>
      </w:r>
      <w:r w:rsidR="001A141C">
        <w:rPr>
          <w:rFonts w:ascii="Garamond" w:eastAsia="Times New Roman" w:hAnsi="Garamond" w:cs="Times New Roman"/>
          <w:sz w:val="24"/>
          <w:szCs w:val="24"/>
          <w:lang w:val="en-GB" w:eastAsia="en-GB"/>
        </w:rPr>
        <w:t xml:space="preserve">Parliament </w:t>
      </w:r>
      <w:r w:rsidRPr="00016BBD">
        <w:rPr>
          <w:rFonts w:ascii="Garamond" w:eastAsia="Times New Roman" w:hAnsi="Garamond" w:cs="Times New Roman"/>
          <w:sz w:val="24"/>
          <w:szCs w:val="24"/>
          <w:lang w:val="en-GB" w:eastAsia="en-GB"/>
        </w:rPr>
        <w:t>applied its right to decide what and in what form it wished to publish at a constitutional level, while fully conforming to the compulsory requirements regarding the formulation of the Fundamental Law and Temporary Provision as determined by the Constitution and the Fundamental Law</w:t>
      </w:r>
      <w:r w:rsidR="00412FAC">
        <w:rPr>
          <w:rFonts w:ascii="Garamond" w:eastAsia="Times New Roman" w:hAnsi="Garamond" w:cs="Times New Roman"/>
          <w:sz w:val="24"/>
          <w:szCs w:val="24"/>
          <w:lang w:val="en-GB" w:eastAsia="en-GB"/>
        </w:rPr>
        <w:t>.</w:t>
      </w:r>
    </w:p>
    <w:p w:rsidR="00412FAC" w:rsidRPr="00016BBD" w:rsidRDefault="00412FAC" w:rsidP="00016BBD">
      <w:pPr>
        <w:spacing w:after="0" w:line="360" w:lineRule="auto"/>
        <w:jc w:val="both"/>
        <w:rPr>
          <w:rFonts w:ascii="Garamond" w:eastAsia="Times New Roman" w:hAnsi="Garamond" w:cs="Times New Roman"/>
          <w:sz w:val="24"/>
          <w:szCs w:val="24"/>
          <w:lang w:val="en-GB" w:eastAsia="en-GB"/>
        </w:rPr>
      </w:pPr>
    </w:p>
    <w:p w:rsid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its </w:t>
      </w:r>
      <w:r w:rsidRPr="00672605">
        <w:rPr>
          <w:rFonts w:ascii="Garamond" w:eastAsia="Times New Roman" w:hAnsi="Garamond" w:cs="Times New Roman"/>
          <w:sz w:val="24"/>
          <w:szCs w:val="24"/>
          <w:lang w:val="en-GB" w:eastAsia="en-GB"/>
        </w:rPr>
        <w:t>decision 45/2012 of December 29, the Constitutional</w:t>
      </w:r>
      <w:r w:rsidRPr="00016BBD">
        <w:rPr>
          <w:rFonts w:ascii="Garamond" w:eastAsia="Times New Roman" w:hAnsi="Garamond" w:cs="Times New Roman"/>
          <w:sz w:val="24"/>
          <w:szCs w:val="24"/>
          <w:lang w:val="en-GB" w:eastAsia="en-GB"/>
        </w:rPr>
        <w:t xml:space="preserve"> Court annulled several provisions of the Temporary Provisions for formal reasons, citing legal invalidity. The Constitutional Court pointed out that the Fundamental Law is a uniform legal document, and so any and all substantive amendments and addenda must be incorporated into the Fundamental Law in a structurally </w:t>
      </w:r>
      <w:r w:rsidR="00CE0018">
        <w:rPr>
          <w:rFonts w:ascii="Garamond" w:eastAsia="Times New Roman" w:hAnsi="Garamond" w:cs="Times New Roman"/>
          <w:sz w:val="24"/>
          <w:szCs w:val="24"/>
          <w:lang w:val="en-GB" w:eastAsia="en-GB"/>
        </w:rPr>
        <w:t>coherent manner. Non-</w:t>
      </w:r>
      <w:r w:rsidRPr="00016BBD">
        <w:rPr>
          <w:rFonts w:ascii="Garamond" w:eastAsia="Times New Roman" w:hAnsi="Garamond" w:cs="Times New Roman"/>
          <w:sz w:val="24"/>
          <w:szCs w:val="24"/>
          <w:lang w:val="en-GB" w:eastAsia="en-GB"/>
        </w:rPr>
        <w:t>temporary provisions that fall within the regulatory scope of the Fundamental Law may not be introduced in an independent legal source, or in the amendments of such, that falls outside the Fundamental Law. However, the Constitutional Court did not repeal those stipulations of the Temporary Provisions that were related to the Fundamental Law and which were determ</w:t>
      </w:r>
      <w:r w:rsidR="004826BC">
        <w:rPr>
          <w:rFonts w:ascii="Garamond" w:eastAsia="Times New Roman" w:hAnsi="Garamond" w:cs="Times New Roman"/>
          <w:sz w:val="24"/>
          <w:szCs w:val="24"/>
          <w:lang w:val="en-GB" w:eastAsia="en-GB"/>
        </w:rPr>
        <w:t>ined as in fact being temporary.</w:t>
      </w:r>
    </w:p>
    <w:p w:rsidR="004826BC" w:rsidRPr="00016BBD" w:rsidRDefault="004826BC"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The </w:t>
      </w:r>
      <w:r w:rsidR="004826BC">
        <w:rPr>
          <w:rFonts w:ascii="Garamond" w:eastAsia="Times New Roman" w:hAnsi="Garamond" w:cs="Times New Roman"/>
          <w:sz w:val="24"/>
          <w:szCs w:val="24"/>
          <w:lang w:val="en-GB" w:eastAsia="en-GB"/>
        </w:rPr>
        <w:t>Parliament</w:t>
      </w:r>
      <w:r w:rsidRPr="00016BBD">
        <w:rPr>
          <w:rFonts w:ascii="Garamond" w:eastAsia="Times New Roman" w:hAnsi="Garamond" w:cs="Times New Roman"/>
          <w:sz w:val="24"/>
          <w:szCs w:val="24"/>
          <w:lang w:val="en-GB" w:eastAsia="en-GB"/>
        </w:rPr>
        <w:t xml:space="preserve"> accepted the decision of the Constitutional Court, and in accordance wishes not only to incorporate the provisions annulled by the Court, but </w:t>
      </w:r>
      <w:r w:rsidR="004826BC">
        <w:rPr>
          <w:rFonts w:ascii="Garamond" w:eastAsia="Times New Roman" w:hAnsi="Garamond" w:cs="Times New Roman"/>
          <w:sz w:val="24"/>
          <w:szCs w:val="24"/>
          <w:lang w:val="en-GB" w:eastAsia="en-GB"/>
        </w:rPr>
        <w:t>to incorporate the full content</w:t>
      </w:r>
      <w:r w:rsidRPr="00016BBD">
        <w:rPr>
          <w:rFonts w:ascii="Garamond" w:eastAsia="Times New Roman" w:hAnsi="Garamond" w:cs="Times New Roman"/>
          <w:sz w:val="24"/>
          <w:szCs w:val="24"/>
          <w:lang w:val="en-GB" w:eastAsia="en-GB"/>
        </w:rPr>
        <w:t xml:space="preserve"> of the Temporary Provisions into the Fundamental Law, </w:t>
      </w:r>
      <w:r w:rsidR="004826BC">
        <w:rPr>
          <w:rFonts w:ascii="Garamond" w:eastAsia="Times New Roman" w:hAnsi="Garamond" w:cs="Times New Roman"/>
          <w:sz w:val="24"/>
          <w:szCs w:val="24"/>
          <w:lang w:val="en-GB" w:eastAsia="en-GB"/>
        </w:rPr>
        <w:t xml:space="preserve">as put forward by the </w:t>
      </w:r>
      <w:r w:rsidRPr="00016BBD">
        <w:rPr>
          <w:rFonts w:ascii="Garamond" w:eastAsia="Times New Roman" w:hAnsi="Garamond" w:cs="Times New Roman"/>
          <w:sz w:val="24"/>
          <w:szCs w:val="24"/>
          <w:lang w:val="en-GB" w:eastAsia="en-GB"/>
        </w:rPr>
        <w:t xml:space="preserve">proposal T/9929. </w:t>
      </w:r>
      <w:r w:rsidR="004826BC">
        <w:rPr>
          <w:rFonts w:ascii="Garamond" w:eastAsia="Times New Roman" w:hAnsi="Garamond" w:cs="Times New Roman"/>
          <w:sz w:val="24"/>
          <w:szCs w:val="24"/>
          <w:lang w:val="en-GB" w:eastAsia="en-GB"/>
        </w:rPr>
        <w:t>The proposal incorporates</w:t>
      </w:r>
      <w:r w:rsidRPr="00016BBD">
        <w:rPr>
          <w:rFonts w:ascii="Garamond" w:eastAsia="Times New Roman" w:hAnsi="Garamond" w:cs="Times New Roman"/>
          <w:sz w:val="24"/>
          <w:szCs w:val="24"/>
          <w:lang w:val="en-GB" w:eastAsia="en-GB"/>
        </w:rPr>
        <w:t xml:space="preserve"> some of the annulled provision</w:t>
      </w:r>
      <w:r w:rsidR="004826BC">
        <w:rPr>
          <w:rFonts w:ascii="Garamond" w:eastAsia="Times New Roman" w:hAnsi="Garamond" w:cs="Times New Roman"/>
          <w:sz w:val="24"/>
          <w:szCs w:val="24"/>
          <w:lang w:val="en-GB" w:eastAsia="en-GB"/>
        </w:rPr>
        <w:t>s of the Temporary Provisions in</w:t>
      </w:r>
      <w:r w:rsidRPr="00016BBD">
        <w:rPr>
          <w:rFonts w:ascii="Garamond" w:eastAsia="Times New Roman" w:hAnsi="Garamond" w:cs="Times New Roman"/>
          <w:sz w:val="24"/>
          <w:szCs w:val="24"/>
          <w:lang w:val="en-GB" w:eastAsia="en-GB"/>
        </w:rPr>
        <w:t xml:space="preserve"> a </w:t>
      </w:r>
      <w:r w:rsidRPr="00016BBD">
        <w:rPr>
          <w:rFonts w:ascii="Garamond" w:eastAsia="Times New Roman" w:hAnsi="Garamond" w:cs="Times New Roman"/>
          <w:sz w:val="24"/>
          <w:szCs w:val="24"/>
          <w:lang w:val="en-GB" w:eastAsia="en-GB"/>
        </w:rPr>
        <w:lastRenderedPageBreak/>
        <w:t xml:space="preserve">corresponding Article of the Fundamental Law, </w:t>
      </w:r>
      <w:r w:rsidR="004826BC">
        <w:rPr>
          <w:rFonts w:ascii="Garamond" w:eastAsia="Times New Roman" w:hAnsi="Garamond" w:cs="Times New Roman"/>
          <w:sz w:val="24"/>
          <w:szCs w:val="24"/>
          <w:lang w:val="en-GB" w:eastAsia="en-GB"/>
        </w:rPr>
        <w:t xml:space="preserve">others in </w:t>
      </w:r>
      <w:r w:rsidRPr="00016BBD">
        <w:rPr>
          <w:rFonts w:ascii="Garamond" w:eastAsia="Times New Roman" w:hAnsi="Garamond" w:cs="Times New Roman"/>
          <w:sz w:val="24"/>
          <w:szCs w:val="24"/>
          <w:lang w:val="en-GB" w:eastAsia="en-GB"/>
        </w:rPr>
        <w:t xml:space="preserve">the Closing Provisions, and places the </w:t>
      </w:r>
      <w:proofErr w:type="spellStart"/>
      <w:r w:rsidRPr="00016BBD">
        <w:rPr>
          <w:rFonts w:ascii="Garamond" w:eastAsia="Times New Roman" w:hAnsi="Garamond" w:cs="Times New Roman"/>
          <w:sz w:val="24"/>
          <w:szCs w:val="24"/>
          <w:lang w:val="en-GB" w:eastAsia="en-GB"/>
        </w:rPr>
        <w:t>unrepealed</w:t>
      </w:r>
      <w:proofErr w:type="spellEnd"/>
      <w:r w:rsidRPr="00016BBD">
        <w:rPr>
          <w:rFonts w:ascii="Garamond" w:eastAsia="Times New Roman" w:hAnsi="Garamond" w:cs="Times New Roman"/>
          <w:sz w:val="24"/>
          <w:szCs w:val="24"/>
          <w:lang w:val="en-GB" w:eastAsia="en-GB"/>
        </w:rPr>
        <w:t xml:space="preserve"> parts of the Temporary Provisions in full at the end of the Closing Provisions.</w:t>
      </w:r>
    </w:p>
    <w:p w:rsidR="00016BBD" w:rsidRPr="00016BBD"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4826BC" w:rsidRDefault="00016BBD" w:rsidP="004826BC">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4826BC">
        <w:rPr>
          <w:rFonts w:ascii="Garamond" w:eastAsia="Times New Roman" w:hAnsi="Garamond" w:cs="Times New Roman"/>
          <w:b/>
          <w:sz w:val="24"/>
          <w:szCs w:val="24"/>
          <w:lang w:val="en-GB" w:eastAsia="en-GB"/>
        </w:rPr>
        <w:t>Amendments Relating to the Constitutional Court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Default="004826BC" w:rsidP="00016BBD">
      <w:pPr>
        <w:spacing w:after="0" w:line="360" w:lineRule="auto"/>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The proposal expands the body’</w:t>
      </w:r>
      <w:r w:rsidR="00016BBD" w:rsidRPr="00016BBD">
        <w:rPr>
          <w:rFonts w:ascii="Garamond" w:eastAsia="Times New Roman" w:hAnsi="Garamond" w:cs="Times New Roman"/>
          <w:sz w:val="24"/>
          <w:szCs w:val="24"/>
          <w:lang w:val="en-GB" w:eastAsia="en-GB"/>
        </w:rPr>
        <w:t>s sphere of responsibility and power, as well as its power to initiate ex-post norm monitoring, in addition to which it aims to increase the transparency of procedures and the speed of certain procedures.</w:t>
      </w:r>
    </w:p>
    <w:p w:rsidR="00E820AD" w:rsidRPr="00016BBD" w:rsidRDefault="00E820A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proposal creates the opportunity for the preliminary and - with the determination of a deadline - ex-post monitoring of the Fundamental Law and its amendme</w:t>
      </w:r>
      <w:r w:rsidR="00E820AD">
        <w:rPr>
          <w:rFonts w:ascii="Garamond" w:eastAsia="Times New Roman" w:hAnsi="Garamond" w:cs="Times New Roman"/>
          <w:sz w:val="24"/>
          <w:szCs w:val="24"/>
          <w:lang w:val="en-GB" w:eastAsia="en-GB"/>
        </w:rPr>
        <w:t>nts by the Constitutional Court</w:t>
      </w:r>
      <w:r w:rsidRPr="00016BBD">
        <w:rPr>
          <w:rFonts w:ascii="Garamond" w:eastAsia="Times New Roman" w:hAnsi="Garamond" w:cs="Times New Roman"/>
          <w:sz w:val="24"/>
          <w:szCs w:val="24"/>
          <w:lang w:val="en-GB" w:eastAsia="en-GB"/>
        </w:rPr>
        <w:t>. As such, the proposal raises familiar Constitutional Court practices to a constitutional level, while also increasing the sphere of responsibility and power of the President of the Republic.</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Another important new element of the proposal is that it extends the power to initiate ex-post norm monitoring to both the President of the Curia and the Prosecutor General. Accordingly, the most important representatives of the justice system also have a direct opportunity to initiate the examination of regulations that they feel may be unconstitutional by the Constitutional Court.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element of the proposal according to which a 30-day deadline would be introduced for the Constitutional Court in the case of norm monitoring initiated by a judge - to prevent the further delaying of court proceedings with regard to the right to a fair trial - also provides a significant guarantee.</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proposed new paragraph (7) of Artic</w:t>
      </w:r>
      <w:r w:rsidR="00E820AD">
        <w:rPr>
          <w:rFonts w:ascii="Garamond" w:eastAsia="Times New Roman" w:hAnsi="Garamond" w:cs="Times New Roman"/>
          <w:sz w:val="24"/>
          <w:szCs w:val="24"/>
          <w:lang w:val="en-GB" w:eastAsia="en-GB"/>
        </w:rPr>
        <w:t xml:space="preserve">le 24 of the Fundamental Law </w:t>
      </w:r>
      <w:r w:rsidRPr="00016BBD">
        <w:rPr>
          <w:rFonts w:ascii="Garamond" w:eastAsia="Times New Roman" w:hAnsi="Garamond" w:cs="Times New Roman"/>
          <w:sz w:val="24"/>
          <w:szCs w:val="24"/>
          <w:lang w:val="en-GB" w:eastAsia="en-GB"/>
        </w:rPr>
        <w:t>aims to make the proceedings of the Constitutional Court more transparent by declaring that the elaborator and initiator of the legislation, or their representatives, must take part in a hearing, or their official opinions must be acquired, in accordance with the stipulations of the relevant cardinal act.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addition, the proposal </w:t>
      </w:r>
      <w:r w:rsidR="0008101E">
        <w:rPr>
          <w:rFonts w:ascii="Garamond" w:eastAsia="Times New Roman" w:hAnsi="Garamond" w:cs="Times New Roman"/>
          <w:sz w:val="24"/>
          <w:szCs w:val="24"/>
          <w:lang w:val="en-GB" w:eastAsia="en-GB"/>
        </w:rPr>
        <w:t>states</w:t>
      </w:r>
      <w:r w:rsidRPr="00016BBD">
        <w:rPr>
          <w:rFonts w:ascii="Garamond" w:eastAsia="Times New Roman" w:hAnsi="Garamond" w:cs="Times New Roman"/>
          <w:sz w:val="24"/>
          <w:szCs w:val="24"/>
          <w:lang w:val="en-GB" w:eastAsia="en-GB"/>
        </w:rPr>
        <w:t xml:space="preserve"> that the Constitutional Court may</w:t>
      </w:r>
      <w:r w:rsidR="0008101E">
        <w:rPr>
          <w:rFonts w:ascii="Garamond" w:eastAsia="Times New Roman" w:hAnsi="Garamond" w:cs="Times New Roman"/>
          <w:sz w:val="24"/>
          <w:szCs w:val="24"/>
          <w:lang w:val="en-GB" w:eastAsia="en-GB"/>
        </w:rPr>
        <w:t xml:space="preserve"> only examine the provisions </w:t>
      </w:r>
      <w:r w:rsidRPr="00016BBD">
        <w:rPr>
          <w:rFonts w:ascii="Garamond" w:eastAsia="Times New Roman" w:hAnsi="Garamond" w:cs="Times New Roman"/>
          <w:sz w:val="24"/>
          <w:szCs w:val="24"/>
          <w:lang w:val="en-GB" w:eastAsia="en-GB"/>
        </w:rPr>
        <w:t>that it has not been directly requir</w:t>
      </w:r>
      <w:r w:rsidR="00F428D3">
        <w:rPr>
          <w:rFonts w:ascii="Garamond" w:eastAsia="Times New Roman" w:hAnsi="Garamond" w:cs="Times New Roman"/>
          <w:sz w:val="24"/>
          <w:szCs w:val="24"/>
          <w:lang w:val="en-GB" w:eastAsia="en-GB"/>
        </w:rPr>
        <w:t>ed to monitor in connection with a</w:t>
      </w:r>
      <w:r w:rsidRPr="00016BBD">
        <w:rPr>
          <w:rFonts w:ascii="Garamond" w:eastAsia="Times New Roman" w:hAnsi="Garamond" w:cs="Times New Roman"/>
          <w:sz w:val="24"/>
          <w:szCs w:val="24"/>
          <w:lang w:val="en-GB" w:eastAsia="en-GB"/>
        </w:rPr>
        <w:t xml:space="preserve"> proposal, if such provisions are in directly and </w:t>
      </w:r>
      <w:proofErr w:type="spellStart"/>
      <w:r w:rsidRPr="00016BBD">
        <w:rPr>
          <w:rFonts w:ascii="Garamond" w:eastAsia="Times New Roman" w:hAnsi="Garamond" w:cs="Times New Roman"/>
          <w:sz w:val="24"/>
          <w:szCs w:val="24"/>
          <w:lang w:val="en-GB" w:eastAsia="en-GB"/>
        </w:rPr>
        <w:t>contentually</w:t>
      </w:r>
      <w:proofErr w:type="spellEnd"/>
      <w:r w:rsidRPr="00016BBD">
        <w:rPr>
          <w:rFonts w:ascii="Garamond" w:eastAsia="Times New Roman" w:hAnsi="Garamond" w:cs="Times New Roman"/>
          <w:sz w:val="24"/>
          <w:szCs w:val="24"/>
          <w:lang w:val="en-GB" w:eastAsia="en-GB"/>
        </w:rPr>
        <w:t xml:space="preserve"> related to the legislation under investigation. It must be stressed that this provision does not reduce the body</w:t>
      </w:r>
      <w:r w:rsidR="0008101E">
        <w:rPr>
          <w:rFonts w:ascii="Garamond" w:eastAsia="Times New Roman" w:hAnsi="Garamond" w:cs="Times New Roman"/>
          <w:sz w:val="24"/>
          <w:szCs w:val="24"/>
          <w:lang w:val="en-GB" w:eastAsia="en-GB"/>
        </w:rPr>
        <w:t>’</w:t>
      </w:r>
      <w:r w:rsidRPr="00016BBD">
        <w:rPr>
          <w:rFonts w:ascii="Garamond" w:eastAsia="Times New Roman" w:hAnsi="Garamond" w:cs="Times New Roman"/>
          <w:sz w:val="24"/>
          <w:szCs w:val="24"/>
          <w:lang w:val="en-GB" w:eastAsia="en-GB"/>
        </w:rPr>
        <w:t>s former powers in any way.</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One of the most challenged elements is the provision on Constitutional Court decisions brought prior to the coming into force of the Fundamental Law. However, the objective of this provision is that the provisions of the Fundamental Law be interpreted together within the context of the Fundamental Law and independent to previous decisions brought by the Constitutional Court. Through this provision, Parliament makes it clear that the Constitutional Court is not bou</w:t>
      </w:r>
      <w:r w:rsidR="0008101E">
        <w:rPr>
          <w:rFonts w:ascii="Garamond" w:eastAsia="Times New Roman" w:hAnsi="Garamond" w:cs="Times New Roman"/>
          <w:sz w:val="24"/>
          <w:szCs w:val="24"/>
          <w:lang w:val="en-GB" w:eastAsia="en-GB"/>
        </w:rPr>
        <w:t>nd by any decisions it</w:t>
      </w:r>
      <w:r w:rsidRPr="00016BBD">
        <w:rPr>
          <w:rFonts w:ascii="Garamond" w:eastAsia="Times New Roman" w:hAnsi="Garamond" w:cs="Times New Roman"/>
          <w:sz w:val="24"/>
          <w:szCs w:val="24"/>
          <w:lang w:val="en-GB" w:eastAsia="en-GB"/>
        </w:rPr>
        <w:t xml:space="preserve"> may have previously made on the basis of the old Constitution. This of course does not exclude the possibility that the Constitutional Court might reach a decision that is identical to one of its previous decisions when interpreting certain provisions of legislation. With relation to this field of legislation, the proposal also took into account the fact that several elements of Constitutional Court practice have previously also be</w:t>
      </w:r>
      <w:r w:rsidR="0008101E">
        <w:rPr>
          <w:rFonts w:ascii="Garamond" w:eastAsia="Times New Roman" w:hAnsi="Garamond" w:cs="Times New Roman"/>
          <w:sz w:val="24"/>
          <w:szCs w:val="24"/>
          <w:lang w:val="en-GB" w:eastAsia="en-GB"/>
        </w:rPr>
        <w:t xml:space="preserve">en included in the Constitution. </w:t>
      </w:r>
    </w:p>
    <w:p w:rsidR="00016BBD" w:rsidRPr="00016BBD"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F428D3" w:rsidRDefault="00016BBD" w:rsidP="00F428D3">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F428D3">
        <w:rPr>
          <w:rFonts w:ascii="Garamond" w:eastAsia="Times New Roman" w:hAnsi="Garamond" w:cs="Times New Roman"/>
          <w:b/>
          <w:sz w:val="24"/>
          <w:szCs w:val="24"/>
          <w:lang w:val="en-GB" w:eastAsia="en-GB"/>
        </w:rPr>
        <w:t>Amendments Relating to the Justice System</w:t>
      </w:r>
    </w:p>
    <w:p w:rsidR="00016BBD" w:rsidRPr="00016BBD"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proposal raises the</w:t>
      </w:r>
      <w:r w:rsidR="00F428D3">
        <w:rPr>
          <w:rFonts w:ascii="Garamond" w:eastAsia="Times New Roman" w:hAnsi="Garamond" w:cs="Times New Roman"/>
          <w:sz w:val="24"/>
          <w:szCs w:val="24"/>
          <w:lang w:val="en-GB" w:eastAsia="en-GB"/>
        </w:rPr>
        <w:t xml:space="preserve"> regulations on the organ</w:t>
      </w:r>
      <w:r w:rsidRPr="00016BBD">
        <w:rPr>
          <w:rFonts w:ascii="Garamond" w:eastAsia="Times New Roman" w:hAnsi="Garamond" w:cs="Times New Roman"/>
          <w:sz w:val="24"/>
          <w:szCs w:val="24"/>
          <w:lang w:val="en-GB" w:eastAsia="en-GB"/>
        </w:rPr>
        <w:t xml:space="preserve"> that performs the central administration of the judicial organisation to a constitutional level, also determining regulations on the election of officers. Accordingly, the proposal states that the Chairperson of the National Judicial Office shall be elected from among the judges for a period of nine years by Parliament, requiring a two-thirds majority of the votes of all Members of Parliament.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In additi</w:t>
      </w:r>
      <w:r w:rsidR="00F172B2">
        <w:rPr>
          <w:rFonts w:ascii="Garamond" w:eastAsia="Times New Roman" w:hAnsi="Garamond" w:cs="Times New Roman"/>
          <w:sz w:val="24"/>
          <w:szCs w:val="24"/>
          <w:lang w:val="en-GB" w:eastAsia="en-GB"/>
        </w:rPr>
        <w:t xml:space="preserve">on, the proposal also includes </w:t>
      </w:r>
      <w:r w:rsidR="00F428D3">
        <w:rPr>
          <w:rFonts w:ascii="Garamond" w:eastAsia="Times New Roman" w:hAnsi="Garamond" w:cs="Times New Roman"/>
          <w:sz w:val="24"/>
          <w:szCs w:val="24"/>
          <w:lang w:val="en-GB" w:eastAsia="en-GB"/>
        </w:rPr>
        <w:t>a provision</w:t>
      </w:r>
      <w:r w:rsidRPr="00016BBD">
        <w:rPr>
          <w:rFonts w:ascii="Garamond" w:eastAsia="Times New Roman" w:hAnsi="Garamond" w:cs="Times New Roman"/>
          <w:sz w:val="24"/>
          <w:szCs w:val="24"/>
          <w:lang w:val="en-GB" w:eastAsia="en-GB"/>
        </w:rPr>
        <w:t xml:space="preserve"> on t</w:t>
      </w:r>
      <w:r w:rsidR="00F428D3">
        <w:rPr>
          <w:rFonts w:ascii="Garamond" w:eastAsia="Times New Roman" w:hAnsi="Garamond" w:cs="Times New Roman"/>
          <w:sz w:val="24"/>
          <w:szCs w:val="24"/>
          <w:lang w:val="en-GB" w:eastAsia="en-GB"/>
        </w:rPr>
        <w:t xml:space="preserve">he right to transfer cases, </w:t>
      </w:r>
      <w:r w:rsidRPr="00016BBD">
        <w:rPr>
          <w:rFonts w:ascii="Garamond" w:eastAsia="Times New Roman" w:hAnsi="Garamond" w:cs="Times New Roman"/>
          <w:sz w:val="24"/>
          <w:szCs w:val="24"/>
          <w:lang w:val="en-GB" w:eastAsia="en-GB"/>
        </w:rPr>
        <w:t>formulated to help assure the right to a court decision within a reasonable period of time</w:t>
      </w:r>
      <w:r w:rsidR="00F172B2">
        <w:rPr>
          <w:rFonts w:ascii="Garamond" w:eastAsia="Times New Roman" w:hAnsi="Garamond" w:cs="Times New Roman"/>
          <w:sz w:val="24"/>
          <w:szCs w:val="24"/>
          <w:lang w:val="en-GB" w:eastAsia="en-GB"/>
        </w:rPr>
        <w:t>,</w:t>
      </w:r>
      <w:r w:rsidR="00F172B2" w:rsidRPr="00F172B2">
        <w:t xml:space="preserve"> </w:t>
      </w:r>
      <w:r w:rsidR="00F172B2" w:rsidRPr="00F172B2">
        <w:rPr>
          <w:rFonts w:ascii="Garamond" w:eastAsia="Times New Roman" w:hAnsi="Garamond" w:cs="Times New Roman"/>
          <w:sz w:val="24"/>
          <w:szCs w:val="24"/>
          <w:lang w:val="en-GB" w:eastAsia="en-GB"/>
        </w:rPr>
        <w:t>with additi</w:t>
      </w:r>
      <w:r w:rsidR="00F172B2">
        <w:rPr>
          <w:rFonts w:ascii="Garamond" w:eastAsia="Times New Roman" w:hAnsi="Garamond" w:cs="Times New Roman"/>
          <w:sz w:val="24"/>
          <w:szCs w:val="24"/>
          <w:lang w:val="en-GB" w:eastAsia="en-GB"/>
        </w:rPr>
        <w:t>onal guarantees and amendments</w:t>
      </w:r>
      <w:r w:rsidRPr="00016BBD">
        <w:rPr>
          <w:rFonts w:ascii="Garamond" w:eastAsia="Times New Roman" w:hAnsi="Garamond" w:cs="Times New Roman"/>
          <w:sz w:val="24"/>
          <w:szCs w:val="24"/>
          <w:lang w:val="en-GB" w:eastAsia="en-GB"/>
        </w:rPr>
        <w:t xml:space="preserve">. </w:t>
      </w:r>
      <w:r w:rsidR="00F428D3">
        <w:rPr>
          <w:rFonts w:ascii="Garamond" w:eastAsia="Times New Roman" w:hAnsi="Garamond" w:cs="Times New Roman"/>
          <w:sz w:val="24"/>
          <w:szCs w:val="24"/>
          <w:lang w:val="en-GB" w:eastAsia="en-GB"/>
        </w:rPr>
        <w:t xml:space="preserve">Accordingly, </w:t>
      </w:r>
      <w:r w:rsidRPr="00016BBD">
        <w:rPr>
          <w:rFonts w:ascii="Garamond" w:eastAsia="Times New Roman" w:hAnsi="Garamond" w:cs="Times New Roman"/>
          <w:sz w:val="24"/>
          <w:szCs w:val="24"/>
          <w:lang w:val="en-GB" w:eastAsia="en-GB"/>
        </w:rPr>
        <w:t xml:space="preserve">in future the Prosecutor General shall not have </w:t>
      </w:r>
      <w:r w:rsidR="00F428D3">
        <w:rPr>
          <w:rFonts w:ascii="Garamond" w:eastAsia="Times New Roman" w:hAnsi="Garamond" w:cs="Times New Roman"/>
          <w:sz w:val="24"/>
          <w:szCs w:val="24"/>
          <w:lang w:val="en-GB" w:eastAsia="en-GB"/>
        </w:rPr>
        <w:t>the power to transfer case</w:t>
      </w:r>
      <w:r w:rsidRPr="00016BBD">
        <w:rPr>
          <w:rFonts w:ascii="Garamond" w:eastAsia="Times New Roman" w:hAnsi="Garamond" w:cs="Times New Roman"/>
          <w:sz w:val="24"/>
          <w:szCs w:val="24"/>
          <w:lang w:val="en-GB" w:eastAsia="en-GB"/>
        </w:rPr>
        <w:t>s and, based on the decision of the Chair of the National Judicial Off</w:t>
      </w:r>
      <w:r w:rsidR="00F428D3">
        <w:rPr>
          <w:rFonts w:ascii="Garamond" w:eastAsia="Times New Roman" w:hAnsi="Garamond" w:cs="Times New Roman"/>
          <w:sz w:val="24"/>
          <w:szCs w:val="24"/>
          <w:lang w:val="en-GB" w:eastAsia="en-GB"/>
        </w:rPr>
        <w:t>ice, only the hearing of cases</w:t>
      </w:r>
      <w:r w:rsidRPr="00016BBD">
        <w:rPr>
          <w:rFonts w:ascii="Garamond" w:eastAsia="Times New Roman" w:hAnsi="Garamond" w:cs="Times New Roman"/>
          <w:sz w:val="24"/>
          <w:szCs w:val="24"/>
          <w:lang w:val="en-GB" w:eastAsia="en-GB"/>
        </w:rPr>
        <w:t xml:space="preserve"> determined in cardinal</w:t>
      </w:r>
      <w:r w:rsidR="00F428D3">
        <w:rPr>
          <w:rFonts w:ascii="Garamond" w:eastAsia="Times New Roman" w:hAnsi="Garamond" w:cs="Times New Roman"/>
          <w:sz w:val="24"/>
          <w:szCs w:val="24"/>
          <w:lang w:val="en-GB" w:eastAsia="en-GB"/>
        </w:rPr>
        <w:t xml:space="preserve"> acts may be conducted contrarily. </w:t>
      </w:r>
    </w:p>
    <w:p w:rsidR="00016BBD" w:rsidRPr="00016BBD"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F172B2" w:rsidRDefault="00016BBD" w:rsidP="00F172B2">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F172B2">
        <w:rPr>
          <w:rFonts w:ascii="Garamond" w:eastAsia="Times New Roman" w:hAnsi="Garamond" w:cs="Times New Roman"/>
          <w:b/>
          <w:sz w:val="24"/>
          <w:szCs w:val="24"/>
          <w:lang w:val="en-GB" w:eastAsia="en-GB"/>
        </w:rPr>
        <w:t>Amendments Relating to Religious Organisations</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F172B2" w:rsidP="00016BBD">
      <w:pPr>
        <w:spacing w:after="0" w:line="360" w:lineRule="auto"/>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The </w:t>
      </w:r>
      <w:r w:rsidR="00016BBD" w:rsidRPr="00016BBD">
        <w:rPr>
          <w:rFonts w:ascii="Garamond" w:eastAsia="Times New Roman" w:hAnsi="Garamond" w:cs="Times New Roman"/>
          <w:sz w:val="24"/>
          <w:szCs w:val="24"/>
          <w:lang w:val="en-GB" w:eastAsia="en-GB"/>
        </w:rPr>
        <w:t xml:space="preserve">proposal </w:t>
      </w:r>
      <w:r>
        <w:rPr>
          <w:rFonts w:ascii="Garamond" w:eastAsia="Times New Roman" w:hAnsi="Garamond" w:cs="Times New Roman"/>
          <w:sz w:val="24"/>
          <w:szCs w:val="24"/>
          <w:lang w:val="en-GB" w:eastAsia="en-GB"/>
        </w:rPr>
        <w:t xml:space="preserve">introduces the new concept of “organisations that perform religious activities” and make them </w:t>
      </w:r>
      <w:r w:rsidR="00016BBD" w:rsidRPr="00016BBD">
        <w:rPr>
          <w:rFonts w:ascii="Garamond" w:eastAsia="Times New Roman" w:hAnsi="Garamond" w:cs="Times New Roman"/>
          <w:sz w:val="24"/>
          <w:szCs w:val="24"/>
          <w:lang w:val="en-GB" w:eastAsia="en-GB"/>
        </w:rPr>
        <w:t>object</w:t>
      </w:r>
      <w:r>
        <w:rPr>
          <w:rFonts w:ascii="Garamond" w:eastAsia="Times New Roman" w:hAnsi="Garamond" w:cs="Times New Roman"/>
          <w:sz w:val="24"/>
          <w:szCs w:val="24"/>
          <w:lang w:val="en-GB" w:eastAsia="en-GB"/>
        </w:rPr>
        <w:t>s</w:t>
      </w:r>
      <w:r w:rsidR="00016BBD" w:rsidRPr="00016BBD">
        <w:rPr>
          <w:rFonts w:ascii="Garamond" w:eastAsia="Times New Roman" w:hAnsi="Garamond" w:cs="Times New Roman"/>
          <w:sz w:val="24"/>
          <w:szCs w:val="24"/>
          <w:lang w:val="en-GB" w:eastAsia="en-GB"/>
        </w:rPr>
        <w:t xml:space="preserve"> of </w:t>
      </w:r>
      <w:r>
        <w:rPr>
          <w:rFonts w:ascii="Garamond" w:eastAsia="Times New Roman" w:hAnsi="Garamond" w:cs="Times New Roman"/>
          <w:sz w:val="24"/>
          <w:szCs w:val="24"/>
          <w:lang w:val="en-GB" w:eastAsia="en-GB"/>
        </w:rPr>
        <w:t xml:space="preserve">the </w:t>
      </w:r>
      <w:r w:rsidR="00016BBD" w:rsidRPr="00016BBD">
        <w:rPr>
          <w:rFonts w:ascii="Garamond" w:eastAsia="Times New Roman" w:hAnsi="Garamond" w:cs="Times New Roman"/>
          <w:sz w:val="24"/>
          <w:szCs w:val="24"/>
          <w:lang w:val="en-GB" w:eastAsia="en-GB"/>
        </w:rPr>
        <w:t>regulation. Furthermore, the new paragraph (2) to Article VII of the Constitution states that in addition to th</w:t>
      </w:r>
      <w:r>
        <w:rPr>
          <w:rFonts w:ascii="Garamond" w:eastAsia="Times New Roman" w:hAnsi="Garamond" w:cs="Times New Roman"/>
          <w:sz w:val="24"/>
          <w:szCs w:val="24"/>
          <w:lang w:val="en-GB" w:eastAsia="en-GB"/>
        </w:rPr>
        <w:t>e individual or joint exercising</w:t>
      </w:r>
      <w:r w:rsidR="00016BBD" w:rsidRPr="00016BBD">
        <w:rPr>
          <w:rFonts w:ascii="Garamond" w:eastAsia="Times New Roman" w:hAnsi="Garamond" w:cs="Times New Roman"/>
          <w:sz w:val="24"/>
          <w:szCs w:val="24"/>
          <w:lang w:val="en-GB" w:eastAsia="en-GB"/>
        </w:rPr>
        <w:t xml:space="preserve"> of the right to religious freedom by all persons and organisations, the state may provide a special </w:t>
      </w:r>
      <w:r>
        <w:rPr>
          <w:rFonts w:ascii="Garamond" w:eastAsia="Times New Roman" w:hAnsi="Garamond" w:cs="Times New Roman"/>
          <w:sz w:val="24"/>
          <w:szCs w:val="24"/>
          <w:lang w:val="en-GB" w:eastAsia="en-GB"/>
        </w:rPr>
        <w:t xml:space="preserve">- church - legal status for </w:t>
      </w:r>
      <w:r w:rsidR="00016BBD" w:rsidRPr="00016BBD">
        <w:rPr>
          <w:rFonts w:ascii="Garamond" w:eastAsia="Times New Roman" w:hAnsi="Garamond" w:cs="Times New Roman"/>
          <w:sz w:val="24"/>
          <w:szCs w:val="24"/>
          <w:lang w:val="en-GB" w:eastAsia="en-GB"/>
        </w:rPr>
        <w:t>organisation</w:t>
      </w:r>
      <w:r>
        <w:rPr>
          <w:rFonts w:ascii="Garamond" w:eastAsia="Times New Roman" w:hAnsi="Garamond" w:cs="Times New Roman"/>
          <w:sz w:val="24"/>
          <w:szCs w:val="24"/>
          <w:lang w:val="en-GB" w:eastAsia="en-GB"/>
        </w:rPr>
        <w:t xml:space="preserve">s performing </w:t>
      </w:r>
      <w:r w:rsidR="00016BBD" w:rsidRPr="00016BBD">
        <w:rPr>
          <w:rFonts w:ascii="Garamond" w:eastAsia="Times New Roman" w:hAnsi="Garamond" w:cs="Times New Roman"/>
          <w:sz w:val="24"/>
          <w:szCs w:val="24"/>
          <w:lang w:val="en-GB" w:eastAsia="en-GB"/>
        </w:rPr>
        <w:t>religious activity. The objective of this legal status is to enable these organisations to perform their activi</w:t>
      </w:r>
      <w:r w:rsidR="003247DD">
        <w:rPr>
          <w:rFonts w:ascii="Garamond" w:eastAsia="Times New Roman" w:hAnsi="Garamond" w:cs="Times New Roman"/>
          <w:sz w:val="24"/>
          <w:szCs w:val="24"/>
          <w:lang w:val="en-GB" w:eastAsia="en-GB"/>
        </w:rPr>
        <w:t xml:space="preserve">ties in a more efficient manner. </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lastRenderedPageBreak/>
        <w:t>According to the new paragraph (4) of Article VII of the Fundamental Law, the requirement for receiving such chur</w:t>
      </w:r>
      <w:r w:rsidR="003247DD">
        <w:rPr>
          <w:rFonts w:ascii="Garamond" w:eastAsia="Times New Roman" w:hAnsi="Garamond" w:cs="Times New Roman"/>
          <w:sz w:val="24"/>
          <w:szCs w:val="24"/>
          <w:lang w:val="en-GB" w:eastAsia="en-GB"/>
        </w:rPr>
        <w:t xml:space="preserve">ch status is conformance to certain </w:t>
      </w:r>
      <w:r w:rsidRPr="00016BBD">
        <w:rPr>
          <w:rFonts w:ascii="Garamond" w:eastAsia="Times New Roman" w:hAnsi="Garamond" w:cs="Times New Roman"/>
          <w:sz w:val="24"/>
          <w:szCs w:val="24"/>
          <w:lang w:val="en-GB" w:eastAsia="en-GB"/>
        </w:rPr>
        <w:t xml:space="preserve">conditions determined in the related cardinal act. Of these, the Fundamental Law includes </w:t>
      </w:r>
      <w:r w:rsidR="003247DD">
        <w:rPr>
          <w:rFonts w:ascii="Garamond" w:eastAsia="Times New Roman" w:hAnsi="Garamond" w:cs="Times New Roman"/>
          <w:sz w:val="24"/>
          <w:szCs w:val="24"/>
          <w:lang w:val="en-GB" w:eastAsia="en-GB"/>
        </w:rPr>
        <w:t xml:space="preserve">the requirement of </w:t>
      </w:r>
      <w:r w:rsidRPr="00016BBD">
        <w:rPr>
          <w:rFonts w:ascii="Garamond" w:eastAsia="Times New Roman" w:hAnsi="Garamond" w:cs="Times New Roman"/>
          <w:sz w:val="24"/>
          <w:szCs w:val="24"/>
          <w:lang w:val="en-GB" w:eastAsia="en-GB"/>
        </w:rPr>
        <w:t>continuous operation and public support, the required level of which is determined by Parliament.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The amendment to existing Fundamental Law regulations introduced in accordance with the new paragraph (3) of Article VII of the Constitution makes it clear that the regulation on independent operation also applies to the relationship between the state and organisations tha</w:t>
      </w:r>
      <w:r w:rsidR="003247DD">
        <w:rPr>
          <w:rFonts w:ascii="Garamond" w:eastAsia="Times New Roman" w:hAnsi="Garamond" w:cs="Times New Roman"/>
          <w:sz w:val="24"/>
          <w:szCs w:val="24"/>
          <w:lang w:val="en-GB" w:eastAsia="en-GB"/>
        </w:rPr>
        <w:t xml:space="preserve">t perform religious activities and </w:t>
      </w:r>
      <w:r w:rsidRPr="00016BBD">
        <w:rPr>
          <w:rFonts w:ascii="Garamond" w:eastAsia="Times New Roman" w:hAnsi="Garamond" w:cs="Times New Roman"/>
          <w:sz w:val="24"/>
          <w:szCs w:val="24"/>
          <w:lang w:val="en-GB" w:eastAsia="en-GB"/>
        </w:rPr>
        <w:t>it also states that independence is required in the case of such organisations with regard to the exercising of basic rights.</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3247DD" w:rsidRDefault="00016BBD" w:rsidP="003247DD">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3247DD">
        <w:rPr>
          <w:rFonts w:ascii="Garamond" w:eastAsia="Times New Roman" w:hAnsi="Garamond" w:cs="Times New Roman"/>
          <w:b/>
          <w:sz w:val="24"/>
          <w:szCs w:val="24"/>
          <w:lang w:val="en-GB" w:eastAsia="en-GB"/>
        </w:rPr>
        <w:t>Changes Ensuing from Previous Decisions by the Constitutional Court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The proposal also wishes to amend the Fundamental Law </w:t>
      </w:r>
      <w:r w:rsidR="003247DD">
        <w:rPr>
          <w:rFonts w:ascii="Garamond" w:eastAsia="Times New Roman" w:hAnsi="Garamond" w:cs="Times New Roman"/>
          <w:sz w:val="24"/>
          <w:szCs w:val="24"/>
          <w:lang w:val="en-GB" w:eastAsia="en-GB"/>
        </w:rPr>
        <w:t xml:space="preserve">further </w:t>
      </w:r>
      <w:r w:rsidRPr="00016BBD">
        <w:rPr>
          <w:rFonts w:ascii="Garamond" w:eastAsia="Times New Roman" w:hAnsi="Garamond" w:cs="Times New Roman"/>
          <w:sz w:val="24"/>
          <w:szCs w:val="24"/>
          <w:lang w:val="en-GB" w:eastAsia="en-GB"/>
        </w:rPr>
        <w:t xml:space="preserve">to observations made by the Constitutional Court in </w:t>
      </w:r>
      <w:r w:rsidR="003247DD">
        <w:rPr>
          <w:rFonts w:ascii="Garamond" w:eastAsia="Times New Roman" w:hAnsi="Garamond" w:cs="Times New Roman"/>
          <w:sz w:val="24"/>
          <w:szCs w:val="24"/>
          <w:lang w:val="en-GB" w:eastAsia="en-GB"/>
        </w:rPr>
        <w:t xml:space="preserve">various other </w:t>
      </w:r>
      <w:r w:rsidRPr="00016BBD">
        <w:rPr>
          <w:rFonts w:ascii="Garamond" w:eastAsia="Times New Roman" w:hAnsi="Garamond" w:cs="Times New Roman"/>
          <w:sz w:val="24"/>
          <w:szCs w:val="24"/>
          <w:lang w:val="en-GB" w:eastAsia="en-GB"/>
        </w:rPr>
        <w:t>decisions.</w:t>
      </w:r>
    </w:p>
    <w:p w:rsidR="00016BBD" w:rsidRPr="003247DD"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3247DD" w:rsidRDefault="00016BBD" w:rsidP="003247DD">
      <w:pPr>
        <w:pStyle w:val="Listaszerbekezds"/>
        <w:numPr>
          <w:ilvl w:val="2"/>
          <w:numId w:val="5"/>
        </w:numPr>
        <w:spacing w:after="0" w:line="360" w:lineRule="auto"/>
        <w:jc w:val="both"/>
        <w:rPr>
          <w:rFonts w:ascii="Garamond" w:eastAsia="Times New Roman" w:hAnsi="Garamond" w:cs="Times New Roman"/>
          <w:b/>
          <w:sz w:val="24"/>
          <w:szCs w:val="24"/>
          <w:lang w:val="en-GB" w:eastAsia="en-GB"/>
        </w:rPr>
      </w:pPr>
      <w:r w:rsidRPr="003247DD">
        <w:rPr>
          <w:rFonts w:ascii="Garamond" w:eastAsia="Times New Roman" w:hAnsi="Garamond" w:cs="Times New Roman"/>
          <w:b/>
          <w:sz w:val="24"/>
          <w:szCs w:val="24"/>
          <w:lang w:val="en-GB" w:eastAsia="en-GB"/>
        </w:rPr>
        <w:t xml:space="preserve"> The Family-Concept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acceptance of the observations explained in Constitutional Court decision 43/2012 (XII.20.), the proposal plans to include the concept of the family in the Constitution. The proposal supplements Article L) of the Fundamental Law that declares the protection of marriage and the family, while expressing the fact that </w:t>
      </w:r>
      <w:r w:rsidR="00442EE7">
        <w:rPr>
          <w:rFonts w:ascii="Garamond" w:eastAsia="Times New Roman" w:hAnsi="Garamond" w:cs="Times New Roman"/>
          <w:sz w:val="24"/>
          <w:szCs w:val="24"/>
          <w:lang w:val="en-GB" w:eastAsia="en-GB"/>
        </w:rPr>
        <w:t xml:space="preserve">marriage and </w:t>
      </w:r>
      <w:r w:rsidRPr="00016BBD">
        <w:rPr>
          <w:rFonts w:ascii="Garamond" w:eastAsia="Times New Roman" w:hAnsi="Garamond" w:cs="Times New Roman"/>
          <w:sz w:val="24"/>
          <w:szCs w:val="24"/>
          <w:lang w:val="en-GB" w:eastAsia="en-GB"/>
        </w:rPr>
        <w:t>parent-child relationship</w:t>
      </w:r>
      <w:r w:rsidR="00442EE7">
        <w:rPr>
          <w:rFonts w:ascii="Garamond" w:eastAsia="Times New Roman" w:hAnsi="Garamond" w:cs="Times New Roman"/>
          <w:sz w:val="24"/>
          <w:szCs w:val="24"/>
          <w:lang w:val="en-GB" w:eastAsia="en-GB"/>
        </w:rPr>
        <w:t xml:space="preserve"> shall be regarded as the basis of a family relationship. </w:t>
      </w:r>
      <w:r w:rsidRPr="00016BBD">
        <w:rPr>
          <w:rFonts w:ascii="Garamond" w:eastAsia="Times New Roman" w:hAnsi="Garamond" w:cs="Times New Roman"/>
          <w:sz w:val="24"/>
          <w:szCs w:val="24"/>
          <w:lang w:val="en-GB" w:eastAsia="en-GB"/>
        </w:rPr>
        <w:t>The basis of the parent-child relationship is most often genealogical, but in addition to biological lineage such a relationship may also come about as a result of adoption or adoptive guardianship. It must be stressed that the provision only determines the basis of the family relationship, not the family itself.</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442EE7" w:rsidRDefault="00016BBD" w:rsidP="00442EE7">
      <w:pPr>
        <w:pStyle w:val="Listaszerbekezds"/>
        <w:numPr>
          <w:ilvl w:val="2"/>
          <w:numId w:val="5"/>
        </w:numPr>
        <w:spacing w:after="0" w:line="360" w:lineRule="auto"/>
        <w:jc w:val="both"/>
        <w:rPr>
          <w:rFonts w:ascii="Garamond" w:eastAsia="Times New Roman" w:hAnsi="Garamond" w:cs="Times New Roman"/>
          <w:b/>
          <w:sz w:val="24"/>
          <w:szCs w:val="24"/>
          <w:lang w:val="en-GB" w:eastAsia="en-GB"/>
        </w:rPr>
      </w:pPr>
      <w:r w:rsidRPr="00442EE7">
        <w:rPr>
          <w:rFonts w:ascii="Garamond" w:eastAsia="Times New Roman" w:hAnsi="Garamond" w:cs="Times New Roman"/>
          <w:sz w:val="24"/>
          <w:szCs w:val="24"/>
          <w:lang w:val="en-GB" w:eastAsia="en-GB"/>
        </w:rPr>
        <w:t xml:space="preserve"> </w:t>
      </w:r>
      <w:r w:rsidRPr="00442EE7">
        <w:rPr>
          <w:rFonts w:ascii="Garamond" w:eastAsia="Times New Roman" w:hAnsi="Garamond" w:cs="Times New Roman"/>
          <w:b/>
          <w:sz w:val="24"/>
          <w:szCs w:val="24"/>
          <w:lang w:val="en-GB" w:eastAsia="en-GB"/>
        </w:rPr>
        <w:t>Provisions Relating to the Freedom of Expression</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The proposal wishes to include in the constitution the fact that human dignity may constitute an external limitation to the </w:t>
      </w:r>
      <w:r w:rsidR="00442EE7">
        <w:rPr>
          <w:rFonts w:ascii="Garamond" w:eastAsia="Times New Roman" w:hAnsi="Garamond" w:cs="Times New Roman"/>
          <w:sz w:val="24"/>
          <w:szCs w:val="24"/>
          <w:lang w:val="en-GB" w:eastAsia="en-GB"/>
        </w:rPr>
        <w:t xml:space="preserve">right to freedom of expression and </w:t>
      </w:r>
      <w:r w:rsidRPr="00016BBD">
        <w:rPr>
          <w:rFonts w:ascii="Garamond" w:eastAsia="Times New Roman" w:hAnsi="Garamond" w:cs="Times New Roman"/>
          <w:sz w:val="24"/>
          <w:szCs w:val="24"/>
          <w:lang w:val="en-GB" w:eastAsia="en-GB"/>
        </w:rPr>
        <w:t>it wishes to create the constitutional basis for the possible sanctioning of certain cases of hatefu</w:t>
      </w:r>
      <w:r w:rsidR="00442EE7">
        <w:rPr>
          <w:rFonts w:ascii="Garamond" w:eastAsia="Times New Roman" w:hAnsi="Garamond" w:cs="Times New Roman"/>
          <w:sz w:val="24"/>
          <w:szCs w:val="24"/>
          <w:lang w:val="en-GB" w:eastAsia="en-GB"/>
        </w:rPr>
        <w:t xml:space="preserve">l action and behaviour, </w:t>
      </w:r>
      <w:r w:rsidRPr="00016BBD">
        <w:rPr>
          <w:rFonts w:ascii="Garamond" w:eastAsia="Times New Roman" w:hAnsi="Garamond" w:cs="Times New Roman"/>
          <w:sz w:val="24"/>
          <w:szCs w:val="24"/>
          <w:lang w:val="en-GB" w:eastAsia="en-GB"/>
        </w:rPr>
        <w:t xml:space="preserve">using the instruments provided by the Civil Code in the case of the violation of the dignity of communities. This provision, which enables more efficient action against hateful speech, is justified by previous </w:t>
      </w:r>
      <w:r w:rsidRPr="00016BBD">
        <w:rPr>
          <w:rFonts w:ascii="Garamond" w:eastAsia="Times New Roman" w:hAnsi="Garamond" w:cs="Times New Roman"/>
          <w:sz w:val="24"/>
          <w:szCs w:val="24"/>
          <w:lang w:val="en-GB" w:eastAsia="en-GB"/>
        </w:rPr>
        <w:lastRenderedPageBreak/>
        <w:t>constitutional court practices and social demand for the increased protection of the dignity of communities.</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In addition, with relation to constitutional regulations on election media campaigns, the proposal deducts the correct conclusions from Constitutional Court decision 1/2013 (I. 7) when, while bearing in mind the need to assure the suitable provision of information to the public and equal opportunities for all political parties, is states that especially important television and radio adverts may only be broadcast through public media channels, free of charge, during the electoral campaign. The proposals aim is to reduce expenditure on the election campaign by creating equal conditions</w:t>
      </w:r>
      <w:r w:rsidR="00442EE7">
        <w:rPr>
          <w:rFonts w:ascii="Garamond" w:eastAsia="Times New Roman" w:hAnsi="Garamond" w:cs="Times New Roman"/>
          <w:sz w:val="24"/>
          <w:szCs w:val="24"/>
          <w:lang w:val="en-GB" w:eastAsia="en-GB"/>
        </w:rPr>
        <w:t xml:space="preserve"> when it comes to political advertisements</w:t>
      </w:r>
      <w:r w:rsidRPr="00016BBD">
        <w:rPr>
          <w:rFonts w:ascii="Garamond" w:eastAsia="Times New Roman" w:hAnsi="Garamond" w:cs="Times New Roman"/>
          <w:sz w:val="24"/>
          <w:szCs w:val="24"/>
          <w:lang w:val="en-GB" w:eastAsia="en-GB"/>
        </w:rPr>
        <w:t>.</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442EE7" w:rsidRDefault="00016BBD" w:rsidP="00442EE7">
      <w:pPr>
        <w:pStyle w:val="Listaszerbekezds"/>
        <w:numPr>
          <w:ilvl w:val="2"/>
          <w:numId w:val="5"/>
        </w:numPr>
        <w:spacing w:after="0" w:line="360" w:lineRule="auto"/>
        <w:jc w:val="both"/>
        <w:rPr>
          <w:rFonts w:ascii="Garamond" w:eastAsia="Times New Roman" w:hAnsi="Garamond" w:cs="Times New Roman"/>
          <w:b/>
          <w:sz w:val="24"/>
          <w:szCs w:val="24"/>
          <w:lang w:val="en-GB" w:eastAsia="en-GB"/>
        </w:rPr>
      </w:pPr>
      <w:r w:rsidRPr="00442EE7">
        <w:rPr>
          <w:rFonts w:ascii="Garamond" w:eastAsia="Times New Roman" w:hAnsi="Garamond" w:cs="Times New Roman"/>
          <w:sz w:val="24"/>
          <w:szCs w:val="24"/>
          <w:lang w:val="en-GB" w:eastAsia="en-GB"/>
        </w:rPr>
        <w:t xml:space="preserve"> </w:t>
      </w:r>
      <w:r w:rsidRPr="00442EE7">
        <w:rPr>
          <w:rFonts w:ascii="Garamond" w:eastAsia="Times New Roman" w:hAnsi="Garamond" w:cs="Times New Roman"/>
          <w:b/>
          <w:sz w:val="24"/>
          <w:szCs w:val="24"/>
          <w:lang w:val="en-GB" w:eastAsia="en-GB"/>
        </w:rPr>
        <w:t>The Use of Public Areas</w:t>
      </w:r>
    </w:p>
    <w:p w:rsidR="00016BBD" w:rsidRPr="00442EE7" w:rsidRDefault="00016BBD" w:rsidP="00016BBD">
      <w:pPr>
        <w:spacing w:after="0" w:line="360" w:lineRule="auto"/>
        <w:jc w:val="both"/>
        <w:rPr>
          <w:rFonts w:ascii="Garamond" w:eastAsia="Times New Roman" w:hAnsi="Garamond" w:cs="Times New Roman"/>
          <w:b/>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Article XXII of the Fundamental Law currently denotes the provision of suitable accommo</w:t>
      </w:r>
      <w:r w:rsidR="00442EE7">
        <w:rPr>
          <w:rFonts w:ascii="Garamond" w:eastAsia="Times New Roman" w:hAnsi="Garamond" w:cs="Times New Roman"/>
          <w:sz w:val="24"/>
          <w:szCs w:val="24"/>
          <w:lang w:val="en-GB" w:eastAsia="en-GB"/>
        </w:rPr>
        <w:t>dation to all as a national objective</w:t>
      </w:r>
      <w:r w:rsidRPr="00016BBD">
        <w:rPr>
          <w:rFonts w:ascii="Garamond" w:eastAsia="Times New Roman" w:hAnsi="Garamond" w:cs="Times New Roman"/>
          <w:sz w:val="24"/>
          <w:szCs w:val="24"/>
          <w:lang w:val="en-GB" w:eastAsia="en-GB"/>
        </w:rPr>
        <w:t xml:space="preserve">. To reinforce solidarity and social responsibility towards homeless people, the proposal makes it clear that, among others, this </w:t>
      </w:r>
      <w:r w:rsidR="00442EE7">
        <w:rPr>
          <w:rFonts w:ascii="Garamond" w:eastAsia="Times New Roman" w:hAnsi="Garamond" w:cs="Times New Roman"/>
          <w:sz w:val="24"/>
          <w:szCs w:val="24"/>
          <w:lang w:val="en-GB" w:eastAsia="en-GB"/>
        </w:rPr>
        <w:t xml:space="preserve">objective </w:t>
      </w:r>
      <w:r w:rsidRPr="00016BBD">
        <w:rPr>
          <w:rFonts w:ascii="Garamond" w:eastAsia="Times New Roman" w:hAnsi="Garamond" w:cs="Times New Roman"/>
          <w:sz w:val="24"/>
          <w:szCs w:val="24"/>
          <w:lang w:val="en-GB" w:eastAsia="en-GB"/>
        </w:rPr>
        <w:t>must be realised through the state and local governments endeavouring to provide accommodation for all homeless people.</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addition, while taking into account the findings of Constitutional Court decision 38/2012 (XI. 14), the proposal makes it clear that it does not support the misuse of public areas: in the interests of protecting public order, public safety, the </w:t>
      </w:r>
      <w:r w:rsidR="00442EE7">
        <w:rPr>
          <w:rFonts w:ascii="Garamond" w:eastAsia="Times New Roman" w:hAnsi="Garamond" w:cs="Times New Roman"/>
          <w:sz w:val="24"/>
          <w:szCs w:val="24"/>
          <w:lang w:val="en-GB" w:eastAsia="en-GB"/>
        </w:rPr>
        <w:t>community and cultural values,</w:t>
      </w:r>
      <w:r w:rsidRPr="00016BBD">
        <w:rPr>
          <w:rFonts w:ascii="Garamond" w:eastAsia="Times New Roman" w:hAnsi="Garamond" w:cs="Times New Roman"/>
          <w:sz w:val="24"/>
          <w:szCs w:val="24"/>
          <w:lang w:val="en-GB" w:eastAsia="en-GB"/>
        </w:rPr>
        <w:t xml:space="preserve"> </w:t>
      </w:r>
      <w:r w:rsidR="00442EE7">
        <w:rPr>
          <w:rFonts w:ascii="Garamond" w:eastAsia="Times New Roman" w:hAnsi="Garamond" w:cs="Times New Roman"/>
          <w:sz w:val="24"/>
          <w:szCs w:val="24"/>
          <w:lang w:val="en-GB" w:eastAsia="en-GB"/>
        </w:rPr>
        <w:t xml:space="preserve">laws or </w:t>
      </w:r>
      <w:r w:rsidRPr="00016BBD">
        <w:rPr>
          <w:rFonts w:ascii="Garamond" w:eastAsia="Times New Roman" w:hAnsi="Garamond" w:cs="Times New Roman"/>
          <w:sz w:val="24"/>
          <w:szCs w:val="24"/>
          <w:lang w:val="en-GB" w:eastAsia="en-GB"/>
        </w:rPr>
        <w:t>local government decrees may declare living on public area</w:t>
      </w:r>
      <w:r w:rsidR="00442EE7">
        <w:rPr>
          <w:rFonts w:ascii="Garamond" w:eastAsia="Times New Roman" w:hAnsi="Garamond" w:cs="Times New Roman"/>
          <w:sz w:val="24"/>
          <w:szCs w:val="24"/>
          <w:lang w:val="en-GB" w:eastAsia="en-GB"/>
        </w:rPr>
        <w:t xml:space="preserve">s illegal. As a guarantee, the </w:t>
      </w:r>
      <w:r w:rsidRPr="00016BBD">
        <w:rPr>
          <w:rFonts w:ascii="Garamond" w:eastAsia="Times New Roman" w:hAnsi="Garamond" w:cs="Times New Roman"/>
          <w:sz w:val="24"/>
          <w:szCs w:val="24"/>
          <w:lang w:val="en-GB" w:eastAsia="en-GB"/>
        </w:rPr>
        <w:t>proposal states that declaring such actions illegal may only occur in the interests of realising the stated goals, and may only be determined with regard to a specific part of the public area.</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442EE7" w:rsidRDefault="00016BBD" w:rsidP="00442EE7">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442EE7">
        <w:rPr>
          <w:rFonts w:ascii="Garamond" w:eastAsia="Times New Roman" w:hAnsi="Garamond" w:cs="Times New Roman"/>
          <w:b/>
          <w:sz w:val="24"/>
          <w:szCs w:val="24"/>
          <w:lang w:val="en-GB" w:eastAsia="en-GB"/>
        </w:rPr>
        <w:t>Provisions Relating to the Communist Dictatorship</w:t>
      </w:r>
    </w:p>
    <w:p w:rsidR="00442EE7" w:rsidRDefault="00442EE7" w:rsidP="00016BBD">
      <w:pPr>
        <w:spacing w:after="0" w:line="360" w:lineRule="auto"/>
        <w:jc w:val="both"/>
        <w:rPr>
          <w:rFonts w:ascii="Garamond" w:eastAsia="Times New Roman" w:hAnsi="Garamond" w:cs="Times New Roman"/>
          <w:sz w:val="24"/>
          <w:szCs w:val="24"/>
          <w:lang w:val="en-GB" w:eastAsia="en-GB"/>
        </w:rPr>
      </w:pPr>
    </w:p>
    <w:p w:rsidR="00442EE7" w:rsidRDefault="00442EE7" w:rsidP="00016BBD">
      <w:pPr>
        <w:spacing w:after="0" w:line="360" w:lineRule="auto"/>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T</w:t>
      </w:r>
      <w:r w:rsidR="00016BBD" w:rsidRPr="00016BBD">
        <w:rPr>
          <w:rFonts w:ascii="Garamond" w:eastAsia="Times New Roman" w:hAnsi="Garamond" w:cs="Times New Roman"/>
          <w:sz w:val="24"/>
          <w:szCs w:val="24"/>
          <w:lang w:val="en-GB" w:eastAsia="en-GB"/>
        </w:rPr>
        <w:t xml:space="preserve">he proposal states </w:t>
      </w:r>
      <w:r>
        <w:rPr>
          <w:rFonts w:ascii="Garamond" w:eastAsia="Times New Roman" w:hAnsi="Garamond" w:cs="Times New Roman"/>
          <w:sz w:val="24"/>
          <w:szCs w:val="24"/>
          <w:lang w:val="en-GB" w:eastAsia="en-GB"/>
        </w:rPr>
        <w:t>that the realistic exploration</w:t>
      </w:r>
      <w:r w:rsidR="00016BBD" w:rsidRPr="00016BBD">
        <w:rPr>
          <w:rFonts w:ascii="Garamond" w:eastAsia="Times New Roman" w:hAnsi="Garamond" w:cs="Times New Roman"/>
          <w:sz w:val="24"/>
          <w:szCs w:val="24"/>
          <w:lang w:val="en-GB" w:eastAsia="en-GB"/>
        </w:rPr>
        <w:t xml:space="preserve"> of the facts regarding the operation of the communist dictatorship and the public's sense of justice must be assured according to the stipulations of the concrete, normative provisions included in the proposal. The proposal, therefore, includes no more than was determined by the Temporary Provisions: the setting up the National Commemoration Committee and assuring that the wielders of the dictatorship's power are judged in t</w:t>
      </w:r>
      <w:r>
        <w:rPr>
          <w:rFonts w:ascii="Garamond" w:eastAsia="Times New Roman" w:hAnsi="Garamond" w:cs="Times New Roman"/>
          <w:sz w:val="24"/>
          <w:szCs w:val="24"/>
          <w:lang w:val="en-GB" w:eastAsia="en-GB"/>
        </w:rPr>
        <w:t>he same manner as public figures</w:t>
      </w:r>
      <w:r w:rsidR="00016BBD" w:rsidRPr="00016BBD">
        <w:rPr>
          <w:rFonts w:ascii="Garamond" w:eastAsia="Times New Roman" w:hAnsi="Garamond" w:cs="Times New Roman"/>
          <w:sz w:val="24"/>
          <w:szCs w:val="24"/>
          <w:lang w:val="en-GB" w:eastAsia="en-GB"/>
        </w:rPr>
        <w:t xml:space="preserve">, the possibility for the reduction of the especially </w:t>
      </w:r>
      <w:r w:rsidR="00016BBD" w:rsidRPr="00016BBD">
        <w:rPr>
          <w:rFonts w:ascii="Garamond" w:eastAsia="Times New Roman" w:hAnsi="Garamond" w:cs="Times New Roman"/>
          <w:sz w:val="24"/>
          <w:szCs w:val="24"/>
          <w:lang w:val="en-GB" w:eastAsia="en-GB"/>
        </w:rPr>
        <w:lastRenderedPageBreak/>
        <w:t xml:space="preserve">high benefits of some leaders of the dictatorship, and the ruling out of limitations with regard to the criminality of serious crimes committed during the period of the communist dictatorship in the name, in the interests, or with the understanding of the state. </w:t>
      </w:r>
    </w:p>
    <w:p w:rsidR="00442EE7" w:rsidRDefault="00442EE7" w:rsidP="00016BBD">
      <w:pPr>
        <w:spacing w:after="0" w:line="360" w:lineRule="auto"/>
        <w:jc w:val="both"/>
        <w:rPr>
          <w:rFonts w:ascii="Garamond" w:eastAsia="Times New Roman" w:hAnsi="Garamond" w:cs="Times New Roman"/>
          <w:sz w:val="24"/>
          <w:szCs w:val="24"/>
          <w:lang w:val="en-GB" w:eastAsia="en-GB"/>
        </w:rPr>
      </w:pPr>
    </w:p>
    <w:p w:rsidR="00442EE7"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The latter proposal does </w:t>
      </w:r>
      <w:r w:rsidR="00442EE7">
        <w:rPr>
          <w:rFonts w:ascii="Garamond" w:eastAsia="Times New Roman" w:hAnsi="Garamond" w:cs="Times New Roman"/>
          <w:sz w:val="24"/>
          <w:szCs w:val="24"/>
          <w:lang w:val="en-GB" w:eastAsia="en-GB"/>
        </w:rPr>
        <w:t>not void the principle of "</w:t>
      </w:r>
      <w:proofErr w:type="spellStart"/>
      <w:r w:rsidR="00442EE7">
        <w:rPr>
          <w:rFonts w:ascii="Garamond" w:eastAsia="Times New Roman" w:hAnsi="Garamond" w:cs="Times New Roman"/>
          <w:sz w:val="24"/>
          <w:szCs w:val="24"/>
          <w:lang w:val="en-GB" w:eastAsia="en-GB"/>
        </w:rPr>
        <w:t>nullu</w:t>
      </w:r>
      <w:r w:rsidRPr="00016BBD">
        <w:rPr>
          <w:rFonts w:ascii="Garamond" w:eastAsia="Times New Roman" w:hAnsi="Garamond" w:cs="Times New Roman"/>
          <w:sz w:val="24"/>
          <w:szCs w:val="24"/>
          <w:lang w:val="en-GB" w:eastAsia="en-GB"/>
        </w:rPr>
        <w:t>m</w:t>
      </w:r>
      <w:proofErr w:type="spellEnd"/>
      <w:r w:rsidRPr="00016BBD">
        <w:rPr>
          <w:rFonts w:ascii="Garamond" w:eastAsia="Times New Roman" w:hAnsi="Garamond" w:cs="Times New Roman"/>
          <w:sz w:val="24"/>
          <w:szCs w:val="24"/>
          <w:lang w:val="en-GB" w:eastAsia="en-GB"/>
        </w:rPr>
        <w:t xml:space="preserve"> </w:t>
      </w:r>
      <w:proofErr w:type="spellStart"/>
      <w:r w:rsidRPr="00016BBD">
        <w:rPr>
          <w:rFonts w:ascii="Garamond" w:eastAsia="Times New Roman" w:hAnsi="Garamond" w:cs="Times New Roman"/>
          <w:sz w:val="24"/>
          <w:szCs w:val="24"/>
          <w:lang w:val="en-GB" w:eastAsia="en-GB"/>
        </w:rPr>
        <w:t>crimen</w:t>
      </w:r>
      <w:proofErr w:type="spellEnd"/>
      <w:r w:rsidRPr="00016BBD">
        <w:rPr>
          <w:rFonts w:ascii="Garamond" w:eastAsia="Times New Roman" w:hAnsi="Garamond" w:cs="Times New Roman"/>
          <w:sz w:val="24"/>
          <w:szCs w:val="24"/>
          <w:lang w:val="en-GB" w:eastAsia="en-GB"/>
        </w:rPr>
        <w:t xml:space="preserve"> sine </w:t>
      </w:r>
      <w:proofErr w:type="spellStart"/>
      <w:r w:rsidRPr="00016BBD">
        <w:rPr>
          <w:rFonts w:ascii="Garamond" w:eastAsia="Times New Roman" w:hAnsi="Garamond" w:cs="Times New Roman"/>
          <w:sz w:val="24"/>
          <w:szCs w:val="24"/>
          <w:lang w:val="en-GB" w:eastAsia="en-GB"/>
        </w:rPr>
        <w:t>lege</w:t>
      </w:r>
      <w:proofErr w:type="spellEnd"/>
      <w:r w:rsidRPr="00016BBD">
        <w:rPr>
          <w:rFonts w:ascii="Garamond" w:eastAsia="Times New Roman" w:hAnsi="Garamond" w:cs="Times New Roman"/>
          <w:sz w:val="24"/>
          <w:szCs w:val="24"/>
          <w:lang w:val="en-GB" w:eastAsia="en-GB"/>
        </w:rPr>
        <w:t xml:space="preserve">", and only those actions committed during the communist dictatorship fall under its scope which the then applicable Penal Code already regarded as criminal at the time they were perpetrated, but in which cases criminal prosecution failed to occur because of the political interests of the single-party state. </w:t>
      </w:r>
    </w:p>
    <w:p w:rsidR="00442EE7" w:rsidRDefault="00442EE7"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addition, the proposal takes into account the time </w:t>
      </w:r>
      <w:r w:rsidR="00442EE7">
        <w:rPr>
          <w:rFonts w:ascii="Garamond" w:eastAsia="Times New Roman" w:hAnsi="Garamond" w:cs="Times New Roman"/>
          <w:sz w:val="24"/>
          <w:szCs w:val="24"/>
          <w:lang w:val="en-GB" w:eastAsia="en-GB"/>
        </w:rPr>
        <w:t>that has passed since 2 May 1990</w:t>
      </w:r>
      <w:r w:rsidRPr="00016BBD">
        <w:rPr>
          <w:rFonts w:ascii="Garamond" w:eastAsia="Times New Roman" w:hAnsi="Garamond" w:cs="Times New Roman"/>
          <w:sz w:val="24"/>
          <w:szCs w:val="24"/>
          <w:lang w:val="en-GB" w:eastAsia="en-GB"/>
        </w:rPr>
        <w:t xml:space="preserve"> and the coming into force of the Fundamental Law: the state shall only receive such extra time for the criminal prosecution of criminal offences after the coming into force of the Fundamental Law, as it was deprived of by the period of communist dictatorship.</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442EE7" w:rsidP="00016BBD">
      <w:pPr>
        <w:spacing w:after="0" w:line="360" w:lineRule="auto"/>
        <w:jc w:val="both"/>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 xml:space="preserve">The </w:t>
      </w:r>
      <w:r w:rsidR="00016BBD" w:rsidRPr="00016BBD">
        <w:rPr>
          <w:rFonts w:ascii="Garamond" w:eastAsia="Times New Roman" w:hAnsi="Garamond" w:cs="Times New Roman"/>
          <w:sz w:val="24"/>
          <w:szCs w:val="24"/>
          <w:lang w:val="en-GB" w:eastAsia="en-GB"/>
        </w:rPr>
        <w:t>proposal also requires that the documentation of the communist single-party state and any organisations created with its collaboration or that it controlled, must be lodged with the Public Records Office.</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442EE7" w:rsidRDefault="00016BBD" w:rsidP="00442EE7">
      <w:pPr>
        <w:pStyle w:val="Listaszerbekezds"/>
        <w:numPr>
          <w:ilvl w:val="1"/>
          <w:numId w:val="5"/>
        </w:numPr>
        <w:spacing w:after="0" w:line="360" w:lineRule="auto"/>
        <w:jc w:val="both"/>
        <w:rPr>
          <w:rFonts w:ascii="Garamond" w:eastAsia="Times New Roman" w:hAnsi="Garamond" w:cs="Times New Roman"/>
          <w:b/>
          <w:sz w:val="24"/>
          <w:szCs w:val="24"/>
          <w:lang w:val="en-GB" w:eastAsia="en-GB"/>
        </w:rPr>
      </w:pPr>
      <w:r w:rsidRPr="00442EE7">
        <w:rPr>
          <w:rFonts w:ascii="Garamond" w:eastAsia="Times New Roman" w:hAnsi="Garamond" w:cs="Times New Roman"/>
          <w:b/>
          <w:sz w:val="24"/>
          <w:szCs w:val="24"/>
          <w:lang w:val="en-GB" w:eastAsia="en-GB"/>
        </w:rPr>
        <w:t>Provisions Relating to Higher Education</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331B2A"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The proposal makes the determination of the </w:t>
      </w:r>
      <w:r w:rsidR="00331B2A">
        <w:rPr>
          <w:rFonts w:ascii="Garamond" w:eastAsia="Times New Roman" w:hAnsi="Garamond" w:cs="Times New Roman"/>
          <w:sz w:val="24"/>
          <w:szCs w:val="24"/>
          <w:lang w:val="en-GB" w:eastAsia="en-GB"/>
        </w:rPr>
        <w:t xml:space="preserve">financial </w:t>
      </w:r>
      <w:r w:rsidRPr="00016BBD">
        <w:rPr>
          <w:rFonts w:ascii="Garamond" w:eastAsia="Times New Roman" w:hAnsi="Garamond" w:cs="Times New Roman"/>
          <w:sz w:val="24"/>
          <w:szCs w:val="24"/>
          <w:lang w:val="en-GB" w:eastAsia="en-GB"/>
        </w:rPr>
        <w:t xml:space="preserve">management order of </w:t>
      </w:r>
      <w:r w:rsidR="00331B2A">
        <w:rPr>
          <w:rFonts w:ascii="Garamond" w:eastAsia="Times New Roman" w:hAnsi="Garamond" w:cs="Times New Roman"/>
          <w:sz w:val="24"/>
          <w:szCs w:val="24"/>
          <w:lang w:val="en-GB" w:eastAsia="en-GB"/>
        </w:rPr>
        <w:t xml:space="preserve">public </w:t>
      </w:r>
      <w:r w:rsidRPr="00016BBD">
        <w:rPr>
          <w:rFonts w:ascii="Garamond" w:eastAsia="Times New Roman" w:hAnsi="Garamond" w:cs="Times New Roman"/>
          <w:sz w:val="24"/>
          <w:szCs w:val="24"/>
          <w:lang w:val="en-GB" w:eastAsia="en-GB"/>
        </w:rPr>
        <w:t>higher education institutions and the monitoring of such management the r</w:t>
      </w:r>
      <w:r w:rsidR="00331B2A">
        <w:rPr>
          <w:rFonts w:ascii="Garamond" w:eastAsia="Times New Roman" w:hAnsi="Garamond" w:cs="Times New Roman"/>
          <w:sz w:val="24"/>
          <w:szCs w:val="24"/>
          <w:lang w:val="en-GB" w:eastAsia="en-GB"/>
        </w:rPr>
        <w:t>esponsibility of the Government.</w:t>
      </w:r>
    </w:p>
    <w:p w:rsidR="00331B2A" w:rsidRDefault="00331B2A"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This includes the fact that the Government -- within the framework of legislation -- is to determine regulations with relation to the management of these institutions, and that it is to exert supervisory powers with regard to such management within the framework of its sphere of authority as maintainer and via suitable institutions. The management powers regulated by the proposal do not </w:t>
      </w:r>
      <w:r w:rsidR="00331B2A" w:rsidRPr="00016BBD">
        <w:rPr>
          <w:rFonts w:ascii="Garamond" w:eastAsia="Times New Roman" w:hAnsi="Garamond" w:cs="Times New Roman"/>
          <w:sz w:val="24"/>
          <w:szCs w:val="24"/>
          <w:lang w:val="en-GB" w:eastAsia="en-GB"/>
        </w:rPr>
        <w:t>affect</w:t>
      </w:r>
      <w:r w:rsidRPr="00016BBD">
        <w:rPr>
          <w:rFonts w:ascii="Garamond" w:eastAsia="Times New Roman" w:hAnsi="Garamond" w:cs="Times New Roman"/>
          <w:sz w:val="24"/>
          <w:szCs w:val="24"/>
          <w:lang w:val="en-GB" w:eastAsia="en-GB"/>
        </w:rPr>
        <w:t xml:space="preserve"> freedoms with regard to research and curriculum.</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r w:rsidRPr="00016BBD">
        <w:rPr>
          <w:rFonts w:ascii="Garamond" w:eastAsia="Times New Roman" w:hAnsi="Garamond" w:cs="Times New Roman"/>
          <w:sz w:val="24"/>
          <w:szCs w:val="24"/>
          <w:lang w:val="en-GB" w:eastAsia="en-GB"/>
        </w:rPr>
        <w:t xml:space="preserve">In the interests of upholding the right to education, the Fundamental Law determines the accessibility of participation in higher education and the support of those receiving higher education </w:t>
      </w:r>
      <w:r w:rsidR="00331B2A">
        <w:rPr>
          <w:rFonts w:ascii="Garamond" w:eastAsia="Times New Roman" w:hAnsi="Garamond" w:cs="Times New Roman"/>
          <w:sz w:val="24"/>
          <w:szCs w:val="24"/>
          <w:lang w:val="en-GB" w:eastAsia="en-GB"/>
        </w:rPr>
        <w:t xml:space="preserve">on the basis of their abilities. </w:t>
      </w:r>
      <w:r w:rsidRPr="00016BBD">
        <w:rPr>
          <w:rFonts w:ascii="Garamond" w:eastAsia="Times New Roman" w:hAnsi="Garamond" w:cs="Times New Roman"/>
          <w:sz w:val="24"/>
          <w:szCs w:val="24"/>
          <w:lang w:val="en-GB" w:eastAsia="en-GB"/>
        </w:rPr>
        <w:t>In the inter</w:t>
      </w:r>
      <w:r w:rsidR="00331B2A">
        <w:rPr>
          <w:rFonts w:ascii="Garamond" w:eastAsia="Times New Roman" w:hAnsi="Garamond" w:cs="Times New Roman"/>
          <w:sz w:val="24"/>
          <w:szCs w:val="24"/>
          <w:lang w:val="en-GB" w:eastAsia="en-GB"/>
        </w:rPr>
        <w:t>ests of assuring that exercising</w:t>
      </w:r>
      <w:r w:rsidRPr="00016BBD">
        <w:rPr>
          <w:rFonts w:ascii="Garamond" w:eastAsia="Times New Roman" w:hAnsi="Garamond" w:cs="Times New Roman"/>
          <w:sz w:val="24"/>
          <w:szCs w:val="24"/>
          <w:lang w:val="en-GB" w:eastAsia="en-GB"/>
        </w:rPr>
        <w:t xml:space="preserve"> the right to </w:t>
      </w:r>
      <w:r w:rsidRPr="00016BBD">
        <w:rPr>
          <w:rFonts w:ascii="Garamond" w:eastAsia="Times New Roman" w:hAnsi="Garamond" w:cs="Times New Roman"/>
          <w:sz w:val="24"/>
          <w:szCs w:val="24"/>
          <w:lang w:val="en-GB" w:eastAsia="en-GB"/>
        </w:rPr>
        <w:lastRenderedPageBreak/>
        <w:t xml:space="preserve">education with the financial support of the state also serves the interests of the community </w:t>
      </w:r>
      <w:r w:rsidR="00331B2A">
        <w:rPr>
          <w:rFonts w:ascii="Garamond" w:eastAsia="Times New Roman" w:hAnsi="Garamond" w:cs="Times New Roman"/>
          <w:sz w:val="24"/>
          <w:szCs w:val="24"/>
          <w:lang w:val="en-GB" w:eastAsia="en-GB"/>
        </w:rPr>
        <w:t xml:space="preserve">and </w:t>
      </w:r>
      <w:r w:rsidRPr="00016BBD">
        <w:rPr>
          <w:rFonts w:ascii="Garamond" w:eastAsia="Times New Roman" w:hAnsi="Garamond" w:cs="Times New Roman"/>
          <w:sz w:val="24"/>
          <w:szCs w:val="24"/>
          <w:lang w:val="en-GB" w:eastAsia="en-GB"/>
        </w:rPr>
        <w:t xml:space="preserve">the individual, the proposal makes possible the legislative introduction of terms and conditions for the financial support of participation in higher education as a student (the state financing of education).  The two elements of these conditions are the existence of value-creating work according to Articles M) and I) of the Fundamental Law, and the fact that it should serve the interests of the community of Hungary. it must be stressed that the state financing of education and the conclusion of the related student contract is not the only possibility that students have available for completing studies in higher education that require no financing on their part: the reduced </w:t>
      </w:r>
      <w:r w:rsidRPr="00995609">
        <w:rPr>
          <w:rFonts w:ascii="Garamond" w:eastAsia="Times New Roman" w:hAnsi="Garamond" w:cs="Times New Roman"/>
          <w:sz w:val="24"/>
          <w:szCs w:val="24"/>
          <w:lang w:val="en-GB" w:eastAsia="en-GB"/>
        </w:rPr>
        <w:t>rate "</w:t>
      </w:r>
      <w:proofErr w:type="spellStart"/>
      <w:r w:rsidRPr="00995609">
        <w:rPr>
          <w:rFonts w:ascii="Garamond" w:eastAsia="Times New Roman" w:hAnsi="Garamond" w:cs="Times New Roman"/>
          <w:sz w:val="24"/>
          <w:szCs w:val="24"/>
          <w:lang w:val="en-GB" w:eastAsia="en-GB"/>
        </w:rPr>
        <w:t>Diákhitel</w:t>
      </w:r>
      <w:proofErr w:type="spellEnd"/>
      <w:r w:rsidRPr="00995609">
        <w:rPr>
          <w:rFonts w:ascii="Garamond" w:eastAsia="Times New Roman" w:hAnsi="Garamond" w:cs="Times New Roman"/>
          <w:sz w:val="24"/>
          <w:szCs w:val="24"/>
          <w:lang w:val="en-GB" w:eastAsia="en-GB"/>
        </w:rPr>
        <w:t xml:space="preserve"> 2" (Student Loan 2)</w:t>
      </w:r>
      <w:r w:rsidRPr="00016BBD">
        <w:rPr>
          <w:rFonts w:ascii="Garamond" w:eastAsia="Times New Roman" w:hAnsi="Garamond" w:cs="Times New Roman"/>
          <w:sz w:val="24"/>
          <w:szCs w:val="24"/>
          <w:lang w:val="en-GB" w:eastAsia="en-GB"/>
        </w:rPr>
        <w:t xml:space="preserve"> construction allows students to participate in higher education without the need</w:t>
      </w:r>
      <w:r w:rsidR="00331B2A">
        <w:rPr>
          <w:rFonts w:ascii="Garamond" w:eastAsia="Times New Roman" w:hAnsi="Garamond" w:cs="Times New Roman"/>
          <w:sz w:val="24"/>
          <w:szCs w:val="24"/>
          <w:lang w:val="en-GB" w:eastAsia="en-GB"/>
        </w:rPr>
        <w:t xml:space="preserve"> to conclude a student contract. </w:t>
      </w:r>
    </w:p>
    <w:p w:rsidR="00016BBD" w:rsidRPr="00016BBD" w:rsidRDefault="00016BBD" w:rsidP="00016BBD">
      <w:pPr>
        <w:spacing w:after="0" w:line="360" w:lineRule="auto"/>
        <w:jc w:val="both"/>
        <w:rPr>
          <w:rFonts w:ascii="Garamond" w:eastAsia="Times New Roman" w:hAnsi="Garamond" w:cs="Times New Roman"/>
          <w:sz w:val="24"/>
          <w:szCs w:val="24"/>
          <w:lang w:val="en-GB" w:eastAsia="en-GB"/>
        </w:rPr>
      </w:pPr>
    </w:p>
    <w:p w:rsidR="00016BBD" w:rsidRDefault="00016BBD" w:rsidP="00016BBD">
      <w:pPr>
        <w:spacing w:line="360" w:lineRule="auto"/>
        <w:jc w:val="both"/>
        <w:rPr>
          <w:rFonts w:ascii="Garamond" w:hAnsi="Garamond"/>
          <w:sz w:val="24"/>
          <w:szCs w:val="24"/>
          <w:lang w:val="en-GB"/>
        </w:rPr>
      </w:pPr>
    </w:p>
    <w:p w:rsidR="000045FA" w:rsidRPr="003B1FFA" w:rsidRDefault="000045FA" w:rsidP="00D30D76">
      <w:pPr>
        <w:jc w:val="both"/>
        <w:rPr>
          <w:rFonts w:ascii="Garamond" w:hAnsi="Garamond"/>
          <w:sz w:val="24"/>
          <w:szCs w:val="24"/>
          <w:lang w:val="en-GB"/>
        </w:rPr>
      </w:pPr>
    </w:p>
    <w:sectPr w:rsidR="000045FA" w:rsidRPr="003B1FFA" w:rsidSect="000C0A8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E2C" w:rsidRDefault="00605E2C" w:rsidP="00215BD2">
      <w:pPr>
        <w:spacing w:after="0" w:line="240" w:lineRule="auto"/>
      </w:pPr>
      <w:r>
        <w:separator/>
      </w:r>
    </w:p>
  </w:endnote>
  <w:endnote w:type="continuationSeparator" w:id="0">
    <w:p w:rsidR="00605E2C" w:rsidRDefault="00605E2C" w:rsidP="00215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086790"/>
      <w:docPartObj>
        <w:docPartGallery w:val="Page Numbers (Bottom of Page)"/>
        <w:docPartUnique/>
      </w:docPartObj>
    </w:sdtPr>
    <w:sdtContent>
      <w:p w:rsidR="00995609" w:rsidRDefault="000C0A84">
        <w:pPr>
          <w:pStyle w:val="llb"/>
          <w:jc w:val="center"/>
        </w:pPr>
        <w:r>
          <w:fldChar w:fldCharType="begin"/>
        </w:r>
        <w:r w:rsidR="00995609">
          <w:instrText>PAGE   \* MERGEFORMAT</w:instrText>
        </w:r>
        <w:r>
          <w:fldChar w:fldCharType="separate"/>
        </w:r>
        <w:r w:rsidR="00AA79B2">
          <w:rPr>
            <w:noProof/>
          </w:rPr>
          <w:t>4</w:t>
        </w:r>
        <w:r>
          <w:fldChar w:fldCharType="end"/>
        </w:r>
      </w:p>
    </w:sdtContent>
  </w:sdt>
  <w:p w:rsidR="00995609" w:rsidRDefault="0099560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E2C" w:rsidRDefault="00605E2C" w:rsidP="00215BD2">
      <w:pPr>
        <w:spacing w:after="0" w:line="240" w:lineRule="auto"/>
      </w:pPr>
      <w:r>
        <w:separator/>
      </w:r>
    </w:p>
  </w:footnote>
  <w:footnote w:type="continuationSeparator" w:id="0">
    <w:p w:rsidR="00605E2C" w:rsidRDefault="00605E2C" w:rsidP="00215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906"/>
    <w:multiLevelType w:val="hybridMultilevel"/>
    <w:tmpl w:val="993CF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674572"/>
    <w:multiLevelType w:val="hybridMultilevel"/>
    <w:tmpl w:val="106EA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0201060"/>
    <w:multiLevelType w:val="multilevel"/>
    <w:tmpl w:val="10063C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6F37BAB"/>
    <w:multiLevelType w:val="hybridMultilevel"/>
    <w:tmpl w:val="3BFEEA1A"/>
    <w:lvl w:ilvl="0" w:tplc="F3B86BE8">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7FC906F7"/>
    <w:multiLevelType w:val="hybridMultilevel"/>
    <w:tmpl w:val="BAF843A8"/>
    <w:lvl w:ilvl="0" w:tplc="F3B86BE8">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BF6"/>
    <w:rsid w:val="000045FA"/>
    <w:rsid w:val="00016BBD"/>
    <w:rsid w:val="0002179A"/>
    <w:rsid w:val="00031051"/>
    <w:rsid w:val="0008101E"/>
    <w:rsid w:val="000C0A84"/>
    <w:rsid w:val="00174C44"/>
    <w:rsid w:val="001A141C"/>
    <w:rsid w:val="00215BD2"/>
    <w:rsid w:val="002C7EF7"/>
    <w:rsid w:val="003247DD"/>
    <w:rsid w:val="00331B2A"/>
    <w:rsid w:val="00344765"/>
    <w:rsid w:val="003750D7"/>
    <w:rsid w:val="00394255"/>
    <w:rsid w:val="003B1FFA"/>
    <w:rsid w:val="003D2551"/>
    <w:rsid w:val="00412FAC"/>
    <w:rsid w:val="00442EE7"/>
    <w:rsid w:val="004826BC"/>
    <w:rsid w:val="00495B2D"/>
    <w:rsid w:val="00520B4C"/>
    <w:rsid w:val="00604CB6"/>
    <w:rsid w:val="00605E2C"/>
    <w:rsid w:val="00672605"/>
    <w:rsid w:val="0074051D"/>
    <w:rsid w:val="00794F7B"/>
    <w:rsid w:val="00795C87"/>
    <w:rsid w:val="008B3BD2"/>
    <w:rsid w:val="008F5DB7"/>
    <w:rsid w:val="00972C53"/>
    <w:rsid w:val="00973382"/>
    <w:rsid w:val="00981BDA"/>
    <w:rsid w:val="00995609"/>
    <w:rsid w:val="009B300A"/>
    <w:rsid w:val="00AA79B2"/>
    <w:rsid w:val="00B240CC"/>
    <w:rsid w:val="00B32B45"/>
    <w:rsid w:val="00B72F92"/>
    <w:rsid w:val="00BE4D77"/>
    <w:rsid w:val="00C17352"/>
    <w:rsid w:val="00C4181A"/>
    <w:rsid w:val="00CB2827"/>
    <w:rsid w:val="00CE0018"/>
    <w:rsid w:val="00D30D76"/>
    <w:rsid w:val="00E25BF6"/>
    <w:rsid w:val="00E37174"/>
    <w:rsid w:val="00E820AD"/>
    <w:rsid w:val="00F172B2"/>
    <w:rsid w:val="00F428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0A8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15B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5BD2"/>
    <w:rPr>
      <w:sz w:val="20"/>
      <w:szCs w:val="20"/>
    </w:rPr>
  </w:style>
  <w:style w:type="character" w:styleId="Lbjegyzet-hivatkozs">
    <w:name w:val="footnote reference"/>
    <w:basedOn w:val="Bekezdsalapbettpusa"/>
    <w:uiPriority w:val="99"/>
    <w:semiHidden/>
    <w:unhideWhenUsed/>
    <w:rsid w:val="00215BD2"/>
    <w:rPr>
      <w:vertAlign w:val="superscript"/>
    </w:rPr>
  </w:style>
  <w:style w:type="paragraph" w:styleId="Listaszerbekezds">
    <w:name w:val="List Paragraph"/>
    <w:basedOn w:val="Norml"/>
    <w:uiPriority w:val="34"/>
    <w:qFormat/>
    <w:rsid w:val="00B240CC"/>
    <w:pPr>
      <w:ind w:left="720"/>
      <w:contextualSpacing/>
    </w:pPr>
  </w:style>
  <w:style w:type="paragraph" w:styleId="lfej">
    <w:name w:val="header"/>
    <w:basedOn w:val="Norml"/>
    <w:link w:val="lfejChar"/>
    <w:uiPriority w:val="99"/>
    <w:unhideWhenUsed/>
    <w:rsid w:val="00995609"/>
    <w:pPr>
      <w:tabs>
        <w:tab w:val="center" w:pos="4536"/>
        <w:tab w:val="right" w:pos="9072"/>
      </w:tabs>
      <w:spacing w:after="0" w:line="240" w:lineRule="auto"/>
    </w:pPr>
  </w:style>
  <w:style w:type="character" w:customStyle="1" w:styleId="lfejChar">
    <w:name w:val="Élőfej Char"/>
    <w:basedOn w:val="Bekezdsalapbettpusa"/>
    <w:link w:val="lfej"/>
    <w:uiPriority w:val="99"/>
    <w:rsid w:val="00995609"/>
  </w:style>
  <w:style w:type="paragraph" w:styleId="llb">
    <w:name w:val="footer"/>
    <w:basedOn w:val="Norml"/>
    <w:link w:val="llbChar"/>
    <w:uiPriority w:val="99"/>
    <w:unhideWhenUsed/>
    <w:rsid w:val="00995609"/>
    <w:pPr>
      <w:tabs>
        <w:tab w:val="center" w:pos="4536"/>
        <w:tab w:val="right" w:pos="9072"/>
      </w:tabs>
      <w:spacing w:after="0" w:line="240" w:lineRule="auto"/>
    </w:pPr>
  </w:style>
  <w:style w:type="character" w:customStyle="1" w:styleId="llbChar">
    <w:name w:val="Élőláb Char"/>
    <w:basedOn w:val="Bekezdsalapbettpusa"/>
    <w:link w:val="llb"/>
    <w:uiPriority w:val="99"/>
    <w:rsid w:val="0099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215BD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5BD2"/>
    <w:rPr>
      <w:sz w:val="20"/>
      <w:szCs w:val="20"/>
    </w:rPr>
  </w:style>
  <w:style w:type="character" w:styleId="Lbjegyzet-hivatkozs">
    <w:name w:val="footnote reference"/>
    <w:basedOn w:val="Bekezdsalapbettpusa"/>
    <w:uiPriority w:val="99"/>
    <w:semiHidden/>
    <w:unhideWhenUsed/>
    <w:rsid w:val="00215BD2"/>
    <w:rPr>
      <w:vertAlign w:val="superscript"/>
    </w:rPr>
  </w:style>
  <w:style w:type="paragraph" w:styleId="Listaszerbekezds">
    <w:name w:val="List Paragraph"/>
    <w:basedOn w:val="Norml"/>
    <w:uiPriority w:val="34"/>
    <w:qFormat/>
    <w:rsid w:val="00B240CC"/>
    <w:pPr>
      <w:ind w:left="720"/>
      <w:contextualSpacing/>
    </w:pPr>
  </w:style>
  <w:style w:type="paragraph" w:styleId="lfej">
    <w:name w:val="header"/>
    <w:basedOn w:val="Norml"/>
    <w:link w:val="lfejChar"/>
    <w:uiPriority w:val="99"/>
    <w:unhideWhenUsed/>
    <w:rsid w:val="00995609"/>
    <w:pPr>
      <w:tabs>
        <w:tab w:val="center" w:pos="4536"/>
        <w:tab w:val="right" w:pos="9072"/>
      </w:tabs>
      <w:spacing w:after="0" w:line="240" w:lineRule="auto"/>
    </w:pPr>
  </w:style>
  <w:style w:type="character" w:customStyle="1" w:styleId="lfejChar">
    <w:name w:val="Élőfej Char"/>
    <w:basedOn w:val="Bekezdsalapbettpusa"/>
    <w:link w:val="lfej"/>
    <w:uiPriority w:val="99"/>
    <w:rsid w:val="00995609"/>
  </w:style>
  <w:style w:type="paragraph" w:styleId="llb">
    <w:name w:val="footer"/>
    <w:basedOn w:val="Norml"/>
    <w:link w:val="llbChar"/>
    <w:uiPriority w:val="99"/>
    <w:unhideWhenUsed/>
    <w:rsid w:val="00995609"/>
    <w:pPr>
      <w:tabs>
        <w:tab w:val="center" w:pos="4536"/>
        <w:tab w:val="right" w:pos="9072"/>
      </w:tabs>
      <w:spacing w:after="0" w:line="240" w:lineRule="auto"/>
    </w:pPr>
  </w:style>
  <w:style w:type="character" w:customStyle="1" w:styleId="llbChar">
    <w:name w:val="Élőláb Char"/>
    <w:basedOn w:val="Bekezdsalapbettpusa"/>
    <w:link w:val="llb"/>
    <w:uiPriority w:val="99"/>
    <w:rsid w:val="009956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7B78-98F9-4480-ABE2-55E32F71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2670</Words>
  <Characters>14633</Characters>
  <Application>Microsoft Office Word</Application>
  <DocSecurity>0</DocSecurity>
  <Lines>266</Lines>
  <Paragraphs>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Orsolya Katalin</dc:creator>
  <cp:lastModifiedBy>PachJ</cp:lastModifiedBy>
  <cp:revision>11</cp:revision>
  <dcterms:created xsi:type="dcterms:W3CDTF">2013-02-26T16:33:00Z</dcterms:created>
  <dcterms:modified xsi:type="dcterms:W3CDTF">2013-02-27T17:32:00Z</dcterms:modified>
</cp:coreProperties>
</file>